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1785D" w14:textId="581A7905" w:rsidR="00212E1B" w:rsidRPr="00387080" w:rsidRDefault="000F56E3" w:rsidP="00387080">
      <w:pPr>
        <w:snapToGrid w:val="0"/>
        <w:jc w:val="right"/>
        <w:rPr>
          <w:b/>
          <w:color w:val="FF0000"/>
          <w:sz w:val="24"/>
        </w:rPr>
      </w:pPr>
      <w:bookmarkStart w:id="0" w:name="_GoBack"/>
      <w:bookmarkEnd w:id="0"/>
      <w:r>
        <w:rPr>
          <w:noProof/>
        </w:rPr>
        <w:drawing>
          <wp:anchor distT="0" distB="0" distL="114300" distR="114300" simplePos="0" relativeHeight="251663360" behindDoc="0" locked="0" layoutInCell="1" allowOverlap="1" wp14:anchorId="0427EDD8" wp14:editId="0ADC3A15">
            <wp:simplePos x="0" y="0"/>
            <wp:positionH relativeFrom="column">
              <wp:posOffset>3956685</wp:posOffset>
            </wp:positionH>
            <wp:positionV relativeFrom="paragraph">
              <wp:posOffset>-6985</wp:posOffset>
            </wp:positionV>
            <wp:extent cx="993775" cy="1005840"/>
            <wp:effectExtent l="0" t="0" r="0" b="10160"/>
            <wp:wrapSquare wrapText="bothSides"/>
            <wp:docPr id="10" name="図 10" descr="スクリーンショット 2014-08-18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スクリーンショット 2014-08-18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DACFD76" wp14:editId="30847CCC">
            <wp:simplePos x="0" y="0"/>
            <wp:positionH relativeFrom="column">
              <wp:posOffset>3063240</wp:posOffset>
            </wp:positionH>
            <wp:positionV relativeFrom="paragraph">
              <wp:posOffset>-6985</wp:posOffset>
            </wp:positionV>
            <wp:extent cx="685800" cy="908050"/>
            <wp:effectExtent l="0" t="0" r="0" b="6350"/>
            <wp:wrapThrough wrapText="bothSides">
              <wp:wrapPolygon edited="0">
                <wp:start x="12800" y="0"/>
                <wp:lineTo x="0" y="2417"/>
                <wp:lineTo x="0" y="14501"/>
                <wp:lineTo x="1600" y="21147"/>
                <wp:lineTo x="20000" y="21147"/>
                <wp:lineTo x="20800" y="12688"/>
                <wp:lineTo x="20800" y="6646"/>
                <wp:lineTo x="18400" y="0"/>
                <wp:lineTo x="1280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5B46B49" wp14:editId="5584ACCE">
                <wp:simplePos x="0" y="0"/>
                <wp:positionH relativeFrom="column">
                  <wp:posOffset>4953000</wp:posOffset>
                </wp:positionH>
                <wp:positionV relativeFrom="paragraph">
                  <wp:posOffset>-285115</wp:posOffset>
                </wp:positionV>
                <wp:extent cx="1301115" cy="1208405"/>
                <wp:effectExtent l="0" t="0" r="0" b="0"/>
                <wp:wrapNone/>
                <wp:docPr id="8" name="テキスト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1208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7A578" w14:textId="77777777" w:rsidR="000F56E3" w:rsidRDefault="000F56E3">
                            <w:r>
                              <w:rPr>
                                <w:rFonts w:hint="eastAsia"/>
                                <w:b/>
                                <w:noProof/>
                                <w:color w:val="FF0000"/>
                                <w:sz w:val="24"/>
                              </w:rPr>
                              <w:drawing>
                                <wp:inline distT="0" distB="0" distL="0" distR="0" wp14:anchorId="5ED424C1" wp14:editId="0B92E99E">
                                  <wp:extent cx="1092200" cy="1092200"/>
                                  <wp:effectExtent l="0" t="0" r="0" b="0"/>
                                  <wp:docPr id="7" name="図 7" descr="logo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a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8" o:spid="_x0000_s1026" type="#_x0000_t202" style="position:absolute;left:0;text-align:left;margin-left:390pt;margin-top:-22.45pt;width:102.45pt;height:9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" stroked="f">
                <v:textbox>
                  <w:txbxContent>
                    <w:p w14:paraId="45B7A578" w14:textId="77777777" w:rsidR="000F56E3" w:rsidRDefault="000F56E3">
                      <w:r>
                        <w:rPr>
                          <w:rFonts w:hint="eastAsia"/>
                          <w:b/>
                          <w:noProof/>
                          <w:color w:val="FF0000"/>
                          <w:sz w:val="24"/>
                          <w:lang w:bidi="th-TH"/>
                        </w:rPr>
                        <w:drawing>
                          <wp:inline distT="0" distB="0" distL="0" distR="0" wp14:anchorId="5ED424C1" wp14:editId="0B92E99E">
                            <wp:extent cx="1092200" cy="1092200"/>
                            <wp:effectExtent l="0" t="0" r="0" b="0"/>
                            <wp:docPr id="7" name="図 7" descr="logo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txbxContent>
                </v:textbox>
              </v:shape>
            </w:pict>
          </mc:Fallback>
        </mc:AlternateContent>
      </w:r>
      <w:r w:rsidR="00C62DDC">
        <w:rPr>
          <w:noProof/>
        </w:rPr>
        <w:drawing>
          <wp:anchor distT="0" distB="0" distL="114300" distR="114300" simplePos="0" relativeHeight="251657216" behindDoc="0" locked="0" layoutInCell="1" allowOverlap="1" wp14:anchorId="5DE63A25" wp14:editId="64517914">
            <wp:simplePos x="0" y="0"/>
            <wp:positionH relativeFrom="column">
              <wp:posOffset>-348615</wp:posOffset>
            </wp:positionH>
            <wp:positionV relativeFrom="paragraph">
              <wp:posOffset>-189865</wp:posOffset>
            </wp:positionV>
            <wp:extent cx="1285875" cy="1343025"/>
            <wp:effectExtent l="0" t="0" r="9525" b="3175"/>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3609C" w14:textId="77777777" w:rsidR="00440CFD" w:rsidRDefault="00440CFD" w:rsidP="00DD3F52">
      <w:pPr>
        <w:snapToGrid w:val="0"/>
        <w:ind w:firstLineChars="399" w:firstLine="921"/>
        <w:rPr>
          <w:sz w:val="24"/>
        </w:rPr>
      </w:pPr>
    </w:p>
    <w:p w14:paraId="55EE3A81" w14:textId="77777777" w:rsidR="00440CFD" w:rsidRDefault="00440CFD" w:rsidP="000F56E3">
      <w:pPr>
        <w:snapToGrid w:val="0"/>
        <w:ind w:firstLineChars="399" w:firstLine="921"/>
        <w:rPr>
          <w:sz w:val="24"/>
        </w:rPr>
      </w:pPr>
    </w:p>
    <w:p w14:paraId="2F474E0A" w14:textId="77777777" w:rsidR="00A513B1" w:rsidRPr="00F170FB" w:rsidRDefault="00A513B1" w:rsidP="00F170FB">
      <w:pPr>
        <w:pStyle w:val="af"/>
        <w:jc w:val="left"/>
        <w:rPr>
          <w:rFonts w:ascii="ＭＳ ゴシック" w:eastAsia="ＭＳ ゴシック" w:hAnsi="ＭＳ ゴシック"/>
        </w:rPr>
      </w:pPr>
      <w:r w:rsidRPr="00F170FB">
        <w:rPr>
          <w:rFonts w:ascii="ＭＳ ゴシック" w:eastAsia="ＭＳ ゴシック" w:hAnsi="ＭＳ ゴシック" w:hint="eastAsia"/>
        </w:rPr>
        <w:t>報道機関各位</w:t>
      </w:r>
    </w:p>
    <w:p w14:paraId="5D89B40A" w14:textId="77777777" w:rsidR="00065707" w:rsidRDefault="00A513B1" w:rsidP="00F170FB">
      <w:pPr>
        <w:pStyle w:val="af"/>
        <w:jc w:val="right"/>
        <w:rPr>
          <w:rFonts w:ascii="ＭＳ ゴシック" w:eastAsia="ＭＳ ゴシック" w:hAnsi="ＭＳ ゴシック"/>
        </w:rPr>
      </w:pPr>
      <w:r w:rsidRPr="00F170FB">
        <w:rPr>
          <w:rFonts w:ascii="ＭＳ ゴシック" w:eastAsia="ＭＳ ゴシック" w:hAnsi="ＭＳ ゴシック" w:hint="eastAsia"/>
        </w:rPr>
        <w:t xml:space="preserve">　</w:t>
      </w:r>
    </w:p>
    <w:p w14:paraId="06CCDEBE" w14:textId="77777777" w:rsidR="00065707" w:rsidRDefault="00065707" w:rsidP="00F170FB">
      <w:pPr>
        <w:pStyle w:val="af"/>
        <w:jc w:val="right"/>
        <w:rPr>
          <w:rFonts w:ascii="ＭＳ ゴシック" w:eastAsia="ＭＳ ゴシック" w:hAnsi="ＭＳ ゴシック"/>
        </w:rPr>
      </w:pPr>
    </w:p>
    <w:p w14:paraId="7C89E334" w14:textId="5AEAE1DE" w:rsidR="00A513B1" w:rsidRPr="007B1C84" w:rsidRDefault="006E2CD1" w:rsidP="007B1C84">
      <w:pPr>
        <w:pStyle w:val="af"/>
        <w:spacing w:line="340" w:lineRule="exact"/>
        <w:jc w:val="right"/>
        <w:rPr>
          <w:rFonts w:asciiTheme="minorEastAsia" w:eastAsiaTheme="minorEastAsia" w:hAnsiTheme="minorEastAsia"/>
          <w:sz w:val="24"/>
        </w:rPr>
      </w:pPr>
      <w:r w:rsidRPr="007B1C84">
        <w:rPr>
          <w:rFonts w:asciiTheme="minorEastAsia" w:eastAsiaTheme="minorEastAsia" w:hAnsiTheme="minorEastAsia"/>
          <w:sz w:val="24"/>
        </w:rPr>
        <w:t>201</w:t>
      </w:r>
      <w:r w:rsidR="004F54EF" w:rsidRPr="007B1C84">
        <w:rPr>
          <w:rFonts w:asciiTheme="minorEastAsia" w:eastAsiaTheme="minorEastAsia" w:hAnsiTheme="minorEastAsia"/>
          <w:sz w:val="24"/>
        </w:rPr>
        <w:t>6</w:t>
      </w:r>
      <w:r w:rsidR="000F56E3" w:rsidRPr="007B1C84">
        <w:rPr>
          <w:rFonts w:asciiTheme="minorEastAsia" w:eastAsiaTheme="minorEastAsia" w:hAnsiTheme="minorEastAsia" w:hint="eastAsia"/>
          <w:sz w:val="24"/>
        </w:rPr>
        <w:t>年</w:t>
      </w:r>
      <w:r w:rsidR="000F56E3" w:rsidRPr="007B1C84">
        <w:rPr>
          <w:rFonts w:asciiTheme="minorEastAsia" w:eastAsiaTheme="minorEastAsia" w:hAnsiTheme="minorEastAsia"/>
          <w:sz w:val="24"/>
        </w:rPr>
        <w:t>2</w:t>
      </w:r>
      <w:r w:rsidRPr="007B1C84">
        <w:rPr>
          <w:rFonts w:asciiTheme="minorEastAsia" w:eastAsiaTheme="minorEastAsia" w:hAnsiTheme="minorEastAsia" w:hint="eastAsia"/>
          <w:sz w:val="24"/>
        </w:rPr>
        <w:t>月</w:t>
      </w:r>
      <w:r w:rsidR="004101EB" w:rsidRPr="007B1C84">
        <w:rPr>
          <w:rFonts w:asciiTheme="minorEastAsia" w:eastAsiaTheme="minorEastAsia" w:hAnsiTheme="minorEastAsia"/>
          <w:sz w:val="24"/>
        </w:rPr>
        <w:t>8</w:t>
      </w:r>
      <w:r w:rsidRPr="007B1C84">
        <w:rPr>
          <w:rFonts w:asciiTheme="minorEastAsia" w:eastAsiaTheme="minorEastAsia" w:hAnsiTheme="minorEastAsia" w:hint="eastAsia"/>
          <w:sz w:val="24"/>
        </w:rPr>
        <w:t>日</w:t>
      </w:r>
    </w:p>
    <w:p w14:paraId="443C2DAB" w14:textId="6E245D7E" w:rsidR="00D929BF" w:rsidRPr="007B1C84" w:rsidRDefault="00D929BF" w:rsidP="007B1C84">
      <w:pPr>
        <w:pStyle w:val="af"/>
        <w:spacing w:line="340" w:lineRule="exact"/>
        <w:jc w:val="left"/>
        <w:rPr>
          <w:rFonts w:asciiTheme="minorEastAsia" w:eastAsiaTheme="minorEastAsia" w:hAnsiTheme="minorEastAsia"/>
          <w:sz w:val="24"/>
        </w:rPr>
      </w:pPr>
      <w:r w:rsidRPr="007B1C84">
        <w:rPr>
          <w:rFonts w:asciiTheme="minorEastAsia" w:eastAsiaTheme="minorEastAsia" w:hAnsiTheme="minorEastAsia" w:hint="eastAsia"/>
          <w:sz w:val="24"/>
        </w:rPr>
        <w:t>報道機関　各位</w:t>
      </w:r>
    </w:p>
    <w:p w14:paraId="50DE4D55" w14:textId="77777777" w:rsidR="00A513B1" w:rsidRPr="007B1C84" w:rsidRDefault="005E50F2" w:rsidP="007B1C84">
      <w:pPr>
        <w:pStyle w:val="af"/>
        <w:spacing w:line="340" w:lineRule="exact"/>
        <w:jc w:val="right"/>
        <w:rPr>
          <w:rFonts w:asciiTheme="minorEastAsia" w:eastAsiaTheme="minorEastAsia" w:hAnsiTheme="minorEastAsia"/>
          <w:sz w:val="24"/>
        </w:rPr>
      </w:pPr>
      <w:r w:rsidRPr="007B1C84">
        <w:rPr>
          <w:rFonts w:asciiTheme="minorEastAsia" w:eastAsiaTheme="minorEastAsia" w:hAnsiTheme="minorEastAsia" w:hint="eastAsia"/>
          <w:sz w:val="24"/>
        </w:rPr>
        <w:t>東北大学</w:t>
      </w:r>
      <w:r w:rsidR="006E2CD1" w:rsidRPr="007B1C84">
        <w:rPr>
          <w:rFonts w:asciiTheme="minorEastAsia" w:eastAsiaTheme="minorEastAsia" w:hAnsiTheme="minorEastAsia" w:hint="eastAsia"/>
          <w:sz w:val="24"/>
        </w:rPr>
        <w:t>病院</w:t>
      </w:r>
    </w:p>
    <w:p w14:paraId="3F89FBBD" w14:textId="357D2BBA" w:rsidR="00F5499C" w:rsidRPr="007B1C84" w:rsidRDefault="00F5499C" w:rsidP="007B1C84">
      <w:pPr>
        <w:pStyle w:val="af"/>
        <w:spacing w:line="340" w:lineRule="exact"/>
        <w:jc w:val="right"/>
        <w:rPr>
          <w:rFonts w:asciiTheme="minorEastAsia" w:eastAsiaTheme="minorEastAsia" w:hAnsiTheme="minorEastAsia"/>
          <w:sz w:val="24"/>
        </w:rPr>
      </w:pPr>
      <w:r w:rsidRPr="007B1C84">
        <w:rPr>
          <w:rFonts w:asciiTheme="minorEastAsia" w:eastAsiaTheme="minorEastAsia" w:hAnsiTheme="minorEastAsia" w:hint="eastAsia"/>
          <w:sz w:val="24"/>
        </w:rPr>
        <w:t>東北大学病院臨床研究推進センター</w:t>
      </w:r>
    </w:p>
    <w:p w14:paraId="1E033E43" w14:textId="09FC1FA5" w:rsidR="00F5499C" w:rsidRPr="007B1C84" w:rsidRDefault="00F5499C" w:rsidP="007B1C84">
      <w:pPr>
        <w:pStyle w:val="af"/>
        <w:spacing w:line="340" w:lineRule="exact"/>
        <w:jc w:val="right"/>
        <w:rPr>
          <w:rFonts w:asciiTheme="minorEastAsia" w:eastAsiaTheme="minorEastAsia" w:hAnsiTheme="minorEastAsia"/>
          <w:sz w:val="22"/>
          <w:szCs w:val="22"/>
        </w:rPr>
      </w:pPr>
      <w:r w:rsidRPr="007B1C84">
        <w:rPr>
          <w:rFonts w:asciiTheme="minorEastAsia" w:eastAsiaTheme="minorEastAsia" w:hAnsiTheme="minorEastAsia" w:hint="eastAsia"/>
          <w:sz w:val="24"/>
        </w:rPr>
        <w:t>東北大学大学院医学系研究科</w:t>
      </w:r>
    </w:p>
    <w:p w14:paraId="7B499110" w14:textId="77777777" w:rsidR="00067EFB" w:rsidRDefault="00C62DDC" w:rsidP="00F170FB">
      <w:pPr>
        <w:pStyle w:val="af"/>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14:anchorId="249ED3BA" wp14:editId="2BE49E8B">
                <wp:simplePos x="0" y="0"/>
                <wp:positionH relativeFrom="column">
                  <wp:posOffset>70485</wp:posOffset>
                </wp:positionH>
                <wp:positionV relativeFrom="paragraph">
                  <wp:posOffset>135890</wp:posOffset>
                </wp:positionV>
                <wp:extent cx="6000750" cy="826770"/>
                <wp:effectExtent l="0" t="0" r="19050"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26770"/>
                        </a:xfrm>
                        <a:prstGeom prst="rect">
                          <a:avLst/>
                        </a:prstGeom>
                        <a:solidFill>
                          <a:srgbClr val="FFFFFF"/>
                        </a:solidFill>
                        <a:ln w="9525">
                          <a:solidFill>
                            <a:srgbClr val="000000"/>
                          </a:solidFill>
                          <a:miter lim="800000"/>
                          <a:headEnd/>
                          <a:tailEnd/>
                        </a:ln>
                      </wps:spPr>
                      <wps:txbx>
                        <w:txbxContent>
                          <w:p w14:paraId="2C2DB719" w14:textId="77777777" w:rsidR="00D929BF" w:rsidRDefault="00A07D73" w:rsidP="00C600E0">
                            <w:pPr>
                              <w:jc w:val="center"/>
                              <w:rPr>
                                <w:rFonts w:ascii="ＭＳ ゴシック" w:eastAsia="ＭＳ ゴシック" w:hAnsi="ＭＳ ゴシック"/>
                                <w:sz w:val="32"/>
                                <w:szCs w:val="32"/>
                              </w:rPr>
                            </w:pPr>
                            <w:r w:rsidRPr="007B1C84">
                              <w:rPr>
                                <w:rFonts w:ascii="ＭＳ ゴシック" w:eastAsia="ＭＳ ゴシック" w:hAnsi="ＭＳ ゴシック" w:hint="eastAsia"/>
                                <w:sz w:val="32"/>
                                <w:szCs w:val="32"/>
                              </w:rPr>
                              <w:t>縁取り空胞を伴う遠位型ミオパチーを対象とした</w:t>
                            </w:r>
                          </w:p>
                          <w:p w14:paraId="395A8F54" w14:textId="03F6CC9C" w:rsidR="00A07D73" w:rsidRPr="007B1C84" w:rsidRDefault="00A07D73" w:rsidP="00C600E0">
                            <w:pPr>
                              <w:jc w:val="center"/>
                              <w:rPr>
                                <w:rFonts w:ascii="ＭＳ ゴシック" w:eastAsia="ＭＳ ゴシック" w:hAnsi="ＭＳ ゴシック"/>
                                <w:sz w:val="32"/>
                                <w:szCs w:val="32"/>
                              </w:rPr>
                            </w:pPr>
                            <w:r w:rsidRPr="007B1C84">
                              <w:rPr>
                                <w:rFonts w:ascii="ＭＳ ゴシック" w:eastAsia="ＭＳ ゴシック" w:hAnsi="ＭＳ ゴシック"/>
                                <w:sz w:val="32"/>
                                <w:szCs w:val="32"/>
                              </w:rPr>
                              <w:t>N-アセチルノイラミン酸の</w:t>
                            </w:r>
                            <w:r w:rsidRPr="007B1C84">
                              <w:rPr>
                                <w:rFonts w:ascii="ＭＳ ゴシック" w:eastAsia="ＭＳ ゴシック" w:hAnsi="ＭＳ ゴシック" w:hint="eastAsia"/>
                                <w:sz w:val="32"/>
                                <w:szCs w:val="32"/>
                              </w:rPr>
                              <w:t>第Ⅱ</w:t>
                            </w:r>
                            <w:r w:rsidRPr="007B1C84">
                              <w:rPr>
                                <w:rFonts w:ascii="ＭＳ ゴシック" w:eastAsia="ＭＳ ゴシック" w:hAnsi="ＭＳ ゴシック"/>
                                <w:sz w:val="32"/>
                                <w:szCs w:val="32"/>
                              </w:rPr>
                              <w:t>/Ⅲ相試験（医師主導治験</w:t>
                            </w:r>
                            <w:r w:rsidRPr="007B1C84">
                              <w:rPr>
                                <w:rFonts w:ascii="ＭＳ ゴシック" w:eastAsia="ＭＳ ゴシック" w:hAnsi="ＭＳ ゴシック" w:hint="eastAsia"/>
                                <w:sz w:val="32"/>
                                <w:szCs w:val="32"/>
                              </w:rPr>
                              <w:t>）を開始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55pt;margin-top:10.7pt;width:472.5pt;height:65.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">
                <v:textbox style="mso-fit-shape-to-text:t">
                  <w:txbxContent>
                    <w:p w14:paraId="2C2DB719" w14:textId="77777777" w:rsidR="00D929BF" w:rsidRDefault="00A07D73" w:rsidP="00C600E0">
                      <w:pPr>
                        <w:jc w:val="center"/>
                        <w:rPr>
                          <w:rFonts w:ascii="ＭＳ ゴシック" w:eastAsia="ＭＳ ゴシック" w:hAnsi="ＭＳ ゴシック"/>
                          <w:sz w:val="32"/>
                          <w:szCs w:val="32"/>
                        </w:rPr>
                      </w:pPr>
                      <w:r w:rsidRPr="007B1C84">
                        <w:rPr>
                          <w:rFonts w:ascii="ＭＳ ゴシック" w:eastAsia="ＭＳ ゴシック" w:hAnsi="ＭＳ ゴシック" w:hint="eastAsia"/>
                          <w:sz w:val="32"/>
                          <w:szCs w:val="32"/>
                        </w:rPr>
                        <w:t>縁取り空胞を伴う遠位型ミオパチーを対象とした</w:t>
                      </w:r>
                    </w:p>
                    <w:p w14:paraId="395A8F54" w14:textId="03F6CC9C" w:rsidR="00A07D73" w:rsidRPr="007B1C84" w:rsidRDefault="00A07D73" w:rsidP="00C600E0">
                      <w:pPr>
                        <w:jc w:val="center"/>
                        <w:rPr>
                          <w:rFonts w:ascii="ＭＳ ゴシック" w:eastAsia="ＭＳ ゴシック" w:hAnsi="ＭＳ ゴシック"/>
                          <w:sz w:val="32"/>
                          <w:szCs w:val="32"/>
                        </w:rPr>
                      </w:pPr>
                      <w:r w:rsidRPr="007B1C84">
                        <w:rPr>
                          <w:rFonts w:ascii="ＭＳ ゴシック" w:eastAsia="ＭＳ ゴシック" w:hAnsi="ＭＳ ゴシック"/>
                          <w:sz w:val="32"/>
                          <w:szCs w:val="32"/>
                        </w:rPr>
                        <w:t>N-アセチルノイラミン酸の</w:t>
                      </w:r>
                      <w:r w:rsidRPr="007B1C84">
                        <w:rPr>
                          <w:rFonts w:ascii="ＭＳ ゴシック" w:eastAsia="ＭＳ ゴシック" w:hAnsi="ＭＳ ゴシック" w:hint="eastAsia"/>
                          <w:sz w:val="32"/>
                          <w:szCs w:val="32"/>
                        </w:rPr>
                        <w:t>第Ⅱ</w:t>
                      </w:r>
                      <w:r w:rsidRPr="007B1C84">
                        <w:rPr>
                          <w:rFonts w:ascii="ＭＳ ゴシック" w:eastAsia="ＭＳ ゴシック" w:hAnsi="ＭＳ ゴシック"/>
                          <w:sz w:val="32"/>
                          <w:szCs w:val="32"/>
                        </w:rPr>
                        <w:t>/Ⅲ相試験（医師主導治験</w:t>
                      </w:r>
                      <w:r w:rsidRPr="007B1C84">
                        <w:rPr>
                          <w:rFonts w:ascii="ＭＳ ゴシック" w:eastAsia="ＭＳ ゴシック" w:hAnsi="ＭＳ ゴシック" w:hint="eastAsia"/>
                          <w:sz w:val="32"/>
                          <w:szCs w:val="32"/>
                        </w:rPr>
                        <w:t>）を開始</w:t>
                      </w:r>
                    </w:p>
                  </w:txbxContent>
                </v:textbox>
              </v:shape>
            </w:pict>
          </mc:Fallback>
        </mc:AlternateContent>
      </w:r>
    </w:p>
    <w:p w14:paraId="504F1530" w14:textId="77777777" w:rsidR="006E2CD1" w:rsidRPr="00F170FB" w:rsidRDefault="006E2CD1" w:rsidP="006E2CD1">
      <w:pPr>
        <w:pStyle w:val="af"/>
        <w:jc w:val="center"/>
        <w:rPr>
          <w:rFonts w:ascii="ＭＳ ゴシック" w:eastAsia="ＭＳ ゴシック" w:hAnsi="ＭＳ ゴシック"/>
          <w:sz w:val="32"/>
          <w:szCs w:val="32"/>
        </w:rPr>
      </w:pPr>
      <w:r w:rsidRPr="00F170FB">
        <w:rPr>
          <w:rFonts w:ascii="ＭＳ ゴシック" w:eastAsia="ＭＳ ゴシック" w:hAnsi="ＭＳ ゴシック" w:hint="eastAsia"/>
          <w:sz w:val="28"/>
          <w:szCs w:val="32"/>
        </w:rPr>
        <w:t>タイトル</w:t>
      </w:r>
    </w:p>
    <w:p w14:paraId="04ECAE61" w14:textId="77777777" w:rsidR="006E2CD1" w:rsidRDefault="006E2CD1" w:rsidP="006E2CD1">
      <w:pPr>
        <w:pStyle w:val="af"/>
        <w:jc w:val="center"/>
        <w:rPr>
          <w:rFonts w:ascii="ＭＳ ゴシック" w:eastAsia="ＭＳ ゴシック" w:hAnsi="ＭＳ ゴシック"/>
        </w:rPr>
      </w:pPr>
    </w:p>
    <w:p w14:paraId="06EA6DD9" w14:textId="77777777" w:rsidR="001B6F3D" w:rsidRPr="00F170FB" w:rsidRDefault="001B6F3D" w:rsidP="006E2CD1">
      <w:pPr>
        <w:pStyle w:val="af"/>
        <w:jc w:val="center"/>
        <w:rPr>
          <w:rFonts w:ascii="ＭＳ ゴシック" w:eastAsia="ＭＳ ゴシック" w:hAnsi="ＭＳ ゴシック"/>
        </w:rPr>
      </w:pPr>
    </w:p>
    <w:p w14:paraId="6A84D08E" w14:textId="77777777" w:rsidR="00A513B1" w:rsidRPr="007B1C84" w:rsidRDefault="00A513B1" w:rsidP="007B1C84">
      <w:pPr>
        <w:pStyle w:val="af"/>
        <w:spacing w:line="340" w:lineRule="exact"/>
        <w:rPr>
          <w:rFonts w:ascii="ＭＳ ゴシック" w:eastAsia="ＭＳ ゴシック" w:hAnsi="ＭＳ ゴシック"/>
          <w:sz w:val="24"/>
        </w:rPr>
      </w:pPr>
    </w:p>
    <w:p w14:paraId="6CD513FE" w14:textId="3148ED39" w:rsidR="00C2111B" w:rsidRPr="007B1C84" w:rsidRDefault="0073023D"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 xml:space="preserve">　</w:t>
      </w:r>
      <w:r w:rsidR="00C600E0" w:rsidRPr="007B1C84">
        <w:rPr>
          <w:rFonts w:asciiTheme="minorEastAsia" w:eastAsiaTheme="minorEastAsia" w:hAnsiTheme="minorEastAsia" w:hint="eastAsia"/>
          <w:sz w:val="24"/>
        </w:rPr>
        <w:t>現在欧米では</w:t>
      </w:r>
      <w:r w:rsidR="00C2111B" w:rsidRPr="007B1C84">
        <w:rPr>
          <w:rFonts w:asciiTheme="minorEastAsia" w:eastAsiaTheme="minorEastAsia" w:hAnsiTheme="minorEastAsia" w:hint="eastAsia"/>
          <w:sz w:val="24"/>
        </w:rPr>
        <w:t>、</w:t>
      </w:r>
      <w:r w:rsidR="00C600E0" w:rsidRPr="007B1C84">
        <w:rPr>
          <w:rFonts w:asciiTheme="minorEastAsia" w:eastAsiaTheme="minorEastAsia" w:hAnsiTheme="minorEastAsia" w:hint="eastAsia"/>
          <w:sz w:val="24"/>
        </w:rPr>
        <w:t>縁取り空胞を伴う遠位型ミオパチー（</w:t>
      </w:r>
      <w:r w:rsidR="00C600E0" w:rsidRPr="007B1C84">
        <w:rPr>
          <w:rFonts w:asciiTheme="minorEastAsia" w:eastAsiaTheme="minorEastAsia" w:hAnsiTheme="minorEastAsia"/>
          <w:sz w:val="24"/>
        </w:rPr>
        <w:t>DMRVもしくはGNEミオパチー）の治験が進んで</w:t>
      </w:r>
      <w:r w:rsidR="00C2111B" w:rsidRPr="007B1C84">
        <w:rPr>
          <w:rFonts w:asciiTheme="minorEastAsia" w:eastAsiaTheme="minorEastAsia" w:hAnsiTheme="minorEastAsia" w:hint="eastAsia"/>
          <w:sz w:val="24"/>
        </w:rPr>
        <w:t>います</w:t>
      </w:r>
      <w:r w:rsidR="00185A3F" w:rsidRPr="007B1C84">
        <w:rPr>
          <w:rFonts w:asciiTheme="minorEastAsia" w:eastAsiaTheme="minorEastAsia" w:hAnsiTheme="minorEastAsia" w:hint="eastAsia"/>
          <w:sz w:val="24"/>
        </w:rPr>
        <w:t>。</w:t>
      </w:r>
      <w:r w:rsidR="006F07AC" w:rsidRPr="007B1C84">
        <w:rPr>
          <w:rFonts w:asciiTheme="minorEastAsia" w:eastAsiaTheme="minorEastAsia" w:hAnsiTheme="minorEastAsia" w:hint="eastAsia"/>
          <w:sz w:val="24"/>
        </w:rPr>
        <w:t>この国際共同治験と併行して、</w:t>
      </w:r>
      <w:r w:rsidR="00C2111B" w:rsidRPr="007B1C84">
        <w:rPr>
          <w:rFonts w:asciiTheme="minorEastAsia" w:eastAsiaTheme="minorEastAsia" w:hAnsiTheme="minorEastAsia" w:hint="eastAsia"/>
          <w:sz w:val="24"/>
        </w:rPr>
        <w:t>この度、東北大学大</w:t>
      </w:r>
      <w:r w:rsidR="00C2111B" w:rsidRPr="007B1C84">
        <w:rPr>
          <w:rFonts w:ascii="ＭＳ 明朝" w:hAnsi="ＭＳ 明朝" w:hint="eastAsia"/>
          <w:sz w:val="24"/>
        </w:rPr>
        <w:t>学院医学系研究科</w:t>
      </w:r>
      <w:r w:rsidR="00C2111B" w:rsidRPr="007B1C84">
        <w:rPr>
          <w:rFonts w:asciiTheme="minorEastAsia" w:eastAsiaTheme="minorEastAsia" w:hAnsiTheme="minorEastAsia" w:hint="eastAsia"/>
          <w:sz w:val="24"/>
        </w:rPr>
        <w:t>神経内科学分野の青木正志教授を中心とした研究グループは、</w:t>
      </w:r>
      <w:r w:rsidR="00C600E0" w:rsidRPr="007B1C84">
        <w:rPr>
          <w:rFonts w:asciiTheme="minorEastAsia" w:eastAsiaTheme="minorEastAsia" w:hAnsiTheme="minorEastAsia" w:hint="eastAsia"/>
          <w:sz w:val="24"/>
        </w:rPr>
        <w:t>我が国</w:t>
      </w:r>
      <w:r w:rsidR="00C2111B" w:rsidRPr="007B1C84">
        <w:rPr>
          <w:rFonts w:asciiTheme="minorEastAsia" w:eastAsiaTheme="minorEastAsia" w:hAnsiTheme="minorEastAsia" w:hint="eastAsia"/>
          <w:sz w:val="24"/>
        </w:rPr>
        <w:t>において</w:t>
      </w:r>
      <w:r w:rsidR="00C600E0" w:rsidRPr="007B1C84">
        <w:rPr>
          <w:rFonts w:asciiTheme="minorEastAsia" w:eastAsiaTheme="minorEastAsia" w:hAnsiTheme="minorEastAsia" w:hint="eastAsia"/>
          <w:sz w:val="24"/>
        </w:rPr>
        <w:t>日本医療研究開発機構（</w:t>
      </w:r>
      <w:r w:rsidR="00C600E0" w:rsidRPr="007B1C84">
        <w:rPr>
          <w:rFonts w:asciiTheme="minorEastAsia" w:eastAsiaTheme="minorEastAsia" w:hAnsiTheme="minorEastAsia"/>
          <w:sz w:val="24"/>
        </w:rPr>
        <w:t>AMED）の難治性疾患実用化研究事業として東北大学病院を中心に第II/III相試験（研究代表者：青木正志</w:t>
      </w:r>
      <w:r w:rsidR="00185A3F" w:rsidRPr="007B1C84">
        <w:rPr>
          <w:rFonts w:asciiTheme="minorEastAsia" w:eastAsiaTheme="minorEastAsia" w:hAnsiTheme="minorEastAsia" w:hint="eastAsia"/>
          <w:sz w:val="24"/>
        </w:rPr>
        <w:t>教授</w:t>
      </w:r>
      <w:r w:rsidR="00C600E0" w:rsidRPr="007B1C84">
        <w:rPr>
          <w:rFonts w:asciiTheme="minorEastAsia" w:eastAsiaTheme="minorEastAsia" w:hAnsiTheme="minorEastAsia" w:hint="eastAsia"/>
          <w:sz w:val="24"/>
        </w:rPr>
        <w:t>）を</w:t>
      </w:r>
      <w:r w:rsidR="000F211A" w:rsidRPr="007B1C84">
        <w:rPr>
          <w:rFonts w:asciiTheme="minorEastAsia" w:eastAsiaTheme="minorEastAsia" w:hAnsiTheme="minorEastAsia" w:hint="eastAsia"/>
          <w:sz w:val="24"/>
        </w:rPr>
        <w:t>実施します。</w:t>
      </w:r>
    </w:p>
    <w:p w14:paraId="7E118FA6" w14:textId="77777777" w:rsidR="000F211A" w:rsidRPr="007B1C84" w:rsidRDefault="000F211A" w:rsidP="00C600E0">
      <w:pPr>
        <w:pStyle w:val="af"/>
        <w:spacing w:line="340" w:lineRule="exact"/>
        <w:rPr>
          <w:rFonts w:asciiTheme="minorEastAsia" w:eastAsiaTheme="minorEastAsia" w:hAnsiTheme="minorEastAsia"/>
          <w:sz w:val="24"/>
        </w:rPr>
      </w:pPr>
    </w:p>
    <w:p w14:paraId="02C0E1D3" w14:textId="5E58F361" w:rsidR="00C600E0" w:rsidRPr="007B1C84" w:rsidRDefault="00C600E0" w:rsidP="00C600E0">
      <w:pPr>
        <w:pStyle w:val="af"/>
        <w:spacing w:line="340" w:lineRule="exact"/>
        <w:rPr>
          <w:rFonts w:ascii="ＭＳ 明朝" w:hAnsi="ＭＳ 明朝"/>
          <w:sz w:val="24"/>
        </w:rPr>
      </w:pPr>
      <w:r w:rsidRPr="007B1C84">
        <w:rPr>
          <w:rFonts w:asciiTheme="minorEastAsia" w:eastAsiaTheme="minorEastAsia" w:hAnsiTheme="minorEastAsia" w:hint="eastAsia"/>
          <w:sz w:val="24"/>
        </w:rPr>
        <w:t xml:space="preserve">　縁取り空胞を伴う遠位型ミオパチーは、</w:t>
      </w:r>
      <w:r w:rsidR="00A07D73" w:rsidRPr="007B1C84">
        <w:rPr>
          <w:rFonts w:asciiTheme="minorEastAsia" w:eastAsiaTheme="minorEastAsia" w:hAnsiTheme="minorEastAsia"/>
          <w:sz w:val="24"/>
        </w:rPr>
        <w:t>10</w:t>
      </w:r>
      <w:r w:rsidRPr="007B1C84">
        <w:rPr>
          <w:rFonts w:asciiTheme="minorEastAsia" w:eastAsiaTheme="minorEastAsia" w:hAnsiTheme="minorEastAsia" w:hint="eastAsia"/>
          <w:sz w:val="24"/>
        </w:rPr>
        <w:t>歳</w:t>
      </w:r>
      <w:r w:rsidR="006F07AC" w:rsidRPr="007B1C84">
        <w:rPr>
          <w:rFonts w:asciiTheme="minorEastAsia" w:eastAsiaTheme="minorEastAsia" w:hAnsiTheme="minorEastAsia" w:hint="eastAsia"/>
          <w:sz w:val="24"/>
        </w:rPr>
        <w:t>代</w:t>
      </w:r>
      <w:r w:rsidRPr="007B1C84">
        <w:rPr>
          <w:rFonts w:asciiTheme="minorEastAsia" w:eastAsiaTheme="minorEastAsia" w:hAnsiTheme="minorEastAsia" w:hint="eastAsia"/>
          <w:sz w:val="24"/>
        </w:rPr>
        <w:t>後半から</w:t>
      </w:r>
      <w:r w:rsidR="00A07D73" w:rsidRPr="007B1C84">
        <w:rPr>
          <w:rFonts w:asciiTheme="minorEastAsia" w:eastAsiaTheme="minorEastAsia" w:hAnsiTheme="minorEastAsia"/>
          <w:sz w:val="24"/>
        </w:rPr>
        <w:t>20</w:t>
      </w:r>
      <w:r w:rsidRPr="007B1C84">
        <w:rPr>
          <w:rFonts w:asciiTheme="minorEastAsia" w:eastAsiaTheme="minorEastAsia" w:hAnsiTheme="minorEastAsia" w:hint="eastAsia"/>
          <w:sz w:val="24"/>
        </w:rPr>
        <w:t>歳代にかけて出現し、体幹から離れた部位から筋肉が萎縮、変性し、次第に体の自由が奪われていく有効な治療法のない希少難病です。我が国の患者数は</w:t>
      </w:r>
      <w:r w:rsidRPr="007B1C84">
        <w:rPr>
          <w:rFonts w:asciiTheme="minorEastAsia" w:eastAsiaTheme="minorEastAsia" w:hAnsiTheme="minorEastAsia"/>
          <w:sz w:val="24"/>
        </w:rPr>
        <w:t>300</w:t>
      </w:r>
      <w:r w:rsidR="00F01E8B" w:rsidRPr="007B1C84">
        <w:rPr>
          <w:rFonts w:asciiTheme="minorEastAsia" w:eastAsiaTheme="minorEastAsia" w:hAnsiTheme="minorEastAsia" w:hint="eastAsia"/>
          <w:sz w:val="24"/>
        </w:rPr>
        <w:t>〜</w:t>
      </w:r>
      <w:r w:rsidRPr="007B1C84">
        <w:rPr>
          <w:rFonts w:asciiTheme="minorEastAsia" w:eastAsiaTheme="minorEastAsia" w:hAnsiTheme="minorEastAsia"/>
          <w:sz w:val="24"/>
        </w:rPr>
        <w:t>400名程度と推定されています。その原因遺伝子がシアル酸代謝に関わることが見いだされ、国立研究開発法人国立精神・神経医療研究センター神経研究所疾病研究第一部西野一三部長らにより非臨床試験でもシアル酸補充療法の有効性が示されました。これを受けて青木正志らは、2010年、世界で初めて医師主導治験として第Ⅰ相試験を実施し、その後、海外と同じ徐放製剤にて、患者を対象とした医師主導第Ⅰ相試験（追加）を実施しました。</w:t>
      </w:r>
    </w:p>
    <w:p w14:paraId="79EE58CD" w14:textId="4CCED39A" w:rsidR="00C600E0" w:rsidRPr="007B1C84" w:rsidRDefault="0073023D"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 xml:space="preserve">　今回、</w:t>
      </w:r>
      <w:r w:rsidR="00C600E0" w:rsidRPr="007B1C84">
        <w:rPr>
          <w:rFonts w:asciiTheme="minorEastAsia" w:eastAsiaTheme="minorEastAsia" w:hAnsiTheme="minorEastAsia" w:hint="eastAsia"/>
          <w:sz w:val="24"/>
        </w:rPr>
        <w:t>東北大学病院の</w:t>
      </w:r>
      <w:r w:rsidR="00C600E0" w:rsidRPr="007B1C84">
        <w:rPr>
          <w:rFonts w:asciiTheme="minorEastAsia" w:eastAsiaTheme="minorEastAsia" w:hAnsiTheme="minorEastAsia"/>
          <w:sz w:val="24"/>
        </w:rPr>
        <w:t>IRB（治験審査委員会）に</w:t>
      </w:r>
      <w:r w:rsidR="0068067E" w:rsidRPr="007B1C84">
        <w:rPr>
          <w:rFonts w:asciiTheme="minorEastAsia" w:eastAsiaTheme="minorEastAsia" w:hAnsiTheme="minorEastAsia" w:hint="eastAsia"/>
          <w:sz w:val="24"/>
        </w:rPr>
        <w:t>おいて</w:t>
      </w:r>
      <w:r w:rsidR="00C600E0" w:rsidRPr="007B1C84">
        <w:rPr>
          <w:rFonts w:asciiTheme="minorEastAsia" w:eastAsiaTheme="minorEastAsia" w:hAnsiTheme="minorEastAsia" w:hint="eastAsia"/>
          <w:sz w:val="24"/>
        </w:rPr>
        <w:t>、縁取り空胞を伴う遠位型ミオパチーを対象とした</w:t>
      </w:r>
      <w:r w:rsidR="00C600E0" w:rsidRPr="007B1C84">
        <w:rPr>
          <w:rFonts w:asciiTheme="minorEastAsia" w:eastAsiaTheme="minorEastAsia" w:hAnsiTheme="minorEastAsia"/>
          <w:sz w:val="24"/>
        </w:rPr>
        <w:t>N-アセチルノイラミン酸の第Ⅱ/Ⅲ相試験を実施する事が承認されました。今後、</w:t>
      </w:r>
      <w:r w:rsidR="0068067E" w:rsidRPr="007B1C84">
        <w:rPr>
          <w:rFonts w:asciiTheme="minorEastAsia" w:eastAsiaTheme="minorEastAsia" w:hAnsiTheme="minorEastAsia" w:hint="eastAsia"/>
          <w:sz w:val="24"/>
        </w:rPr>
        <w:t>本院を含めた</w:t>
      </w:r>
      <w:r w:rsidR="00C600E0" w:rsidRPr="007B1C84">
        <w:rPr>
          <w:rFonts w:asciiTheme="minorEastAsia" w:eastAsiaTheme="minorEastAsia" w:hAnsiTheme="minorEastAsia" w:hint="eastAsia"/>
          <w:sz w:val="24"/>
        </w:rPr>
        <w:t>国内他</w:t>
      </w:r>
      <w:r w:rsidR="0068067E" w:rsidRPr="007B1C84">
        <w:rPr>
          <w:rFonts w:asciiTheme="minorEastAsia" w:eastAsiaTheme="minorEastAsia" w:hAnsiTheme="minorEastAsia"/>
          <w:sz w:val="24"/>
        </w:rPr>
        <w:t>5</w:t>
      </w:r>
      <w:r w:rsidR="00C600E0" w:rsidRPr="007B1C84">
        <w:rPr>
          <w:rFonts w:asciiTheme="minorEastAsia" w:eastAsiaTheme="minorEastAsia" w:hAnsiTheme="minorEastAsia" w:hint="eastAsia"/>
          <w:sz w:val="24"/>
        </w:rPr>
        <w:t>施設</w:t>
      </w:r>
      <w:r w:rsidR="00CE4092" w:rsidRPr="007B1C84">
        <w:rPr>
          <w:rFonts w:asciiTheme="minorEastAsia" w:eastAsiaTheme="minorEastAsia" w:hAnsiTheme="minorEastAsia" w:hint="eastAsia"/>
          <w:sz w:val="24"/>
        </w:rPr>
        <w:t>で実施し、約</w:t>
      </w:r>
      <w:r w:rsidR="00CE4092" w:rsidRPr="007B1C84">
        <w:rPr>
          <w:rFonts w:asciiTheme="minorEastAsia" w:eastAsiaTheme="minorEastAsia" w:hAnsiTheme="minorEastAsia"/>
          <w:sz w:val="24"/>
        </w:rPr>
        <w:t>20名の患者</w:t>
      </w:r>
      <w:r w:rsidR="000E4C82" w:rsidRPr="007B1C84">
        <w:rPr>
          <w:rFonts w:asciiTheme="minorEastAsia" w:eastAsiaTheme="minorEastAsia" w:hAnsiTheme="minorEastAsia" w:hint="eastAsia"/>
          <w:sz w:val="24"/>
        </w:rPr>
        <w:t>さん</w:t>
      </w:r>
      <w:r w:rsidR="00CE4092" w:rsidRPr="007B1C84">
        <w:rPr>
          <w:rFonts w:asciiTheme="minorEastAsia" w:eastAsiaTheme="minorEastAsia" w:hAnsiTheme="minorEastAsia" w:hint="eastAsia"/>
          <w:sz w:val="24"/>
        </w:rPr>
        <w:t>に参加頂く予定です。</w:t>
      </w:r>
    </w:p>
    <w:p w14:paraId="47D1AEA7" w14:textId="77777777" w:rsidR="00C600E0" w:rsidRPr="007B1C84" w:rsidRDefault="00C600E0" w:rsidP="00C600E0">
      <w:pPr>
        <w:pStyle w:val="af"/>
        <w:spacing w:line="340" w:lineRule="exact"/>
        <w:rPr>
          <w:rFonts w:asciiTheme="minorEastAsia" w:eastAsiaTheme="minorEastAsia" w:hAnsiTheme="minorEastAsia"/>
          <w:sz w:val="24"/>
        </w:rPr>
      </w:pPr>
    </w:p>
    <w:p w14:paraId="198DD2A9" w14:textId="5A81AE56" w:rsidR="00C600E0" w:rsidRPr="007B1C84" w:rsidRDefault="00C600E0" w:rsidP="00C2111B">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 xml:space="preserve">　</w:t>
      </w:r>
      <w:r w:rsidR="006C0688" w:rsidRPr="007B1C84">
        <w:rPr>
          <w:rFonts w:asciiTheme="minorEastAsia" w:eastAsiaTheme="minorEastAsia" w:hAnsiTheme="minorEastAsia" w:hint="eastAsia"/>
          <w:sz w:val="24"/>
        </w:rPr>
        <w:t>本治験は</w:t>
      </w:r>
      <w:r w:rsidR="00F01E8B" w:rsidRPr="007B1C84">
        <w:rPr>
          <w:rFonts w:asciiTheme="minorEastAsia" w:eastAsiaTheme="minorEastAsia" w:hAnsiTheme="minorEastAsia" w:hint="eastAsia"/>
          <w:sz w:val="24"/>
        </w:rPr>
        <w:t>、</w:t>
      </w:r>
      <w:r w:rsidR="006C0688" w:rsidRPr="007B1C84">
        <w:rPr>
          <w:rFonts w:asciiTheme="minorEastAsia" w:eastAsiaTheme="minorEastAsia" w:hAnsiTheme="minorEastAsia" w:hint="eastAsia"/>
          <w:sz w:val="24"/>
        </w:rPr>
        <w:t>医薬品</w:t>
      </w:r>
      <w:r w:rsidR="00C2111B" w:rsidRPr="007B1C84">
        <w:rPr>
          <w:rFonts w:asciiTheme="minorEastAsia" w:eastAsiaTheme="minorEastAsia" w:hAnsiTheme="minorEastAsia" w:hint="eastAsia"/>
          <w:sz w:val="24"/>
        </w:rPr>
        <w:t>医療機器総合機構（</w:t>
      </w:r>
      <w:r w:rsidR="006C0688" w:rsidRPr="007B1C84">
        <w:rPr>
          <w:rFonts w:asciiTheme="minorEastAsia" w:eastAsiaTheme="minorEastAsia" w:hAnsiTheme="minorEastAsia"/>
          <w:sz w:val="24"/>
        </w:rPr>
        <w:t>PMDA</w:t>
      </w:r>
      <w:r w:rsidR="00C2111B" w:rsidRPr="007B1C84">
        <w:rPr>
          <w:rFonts w:asciiTheme="minorEastAsia" w:eastAsiaTheme="minorEastAsia" w:hAnsiTheme="minorEastAsia" w:hint="eastAsia"/>
          <w:sz w:val="24"/>
        </w:rPr>
        <w:t>）</w:t>
      </w:r>
      <w:r w:rsidR="006C0688" w:rsidRPr="007B1C84">
        <w:rPr>
          <w:rFonts w:asciiTheme="minorEastAsia" w:eastAsiaTheme="minorEastAsia" w:hAnsiTheme="minorEastAsia" w:hint="eastAsia"/>
          <w:sz w:val="24"/>
        </w:rPr>
        <w:t>との対面助言相談を経て実施するもので、</w:t>
      </w:r>
      <w:r w:rsidR="00C2111B" w:rsidRPr="007B1C84">
        <w:rPr>
          <w:rFonts w:asciiTheme="minorEastAsia" w:eastAsiaTheme="minorEastAsia" w:hAnsiTheme="minorEastAsia" w:hint="eastAsia"/>
          <w:sz w:val="24"/>
        </w:rPr>
        <w:t>既に</w:t>
      </w:r>
      <w:r w:rsidRPr="007B1C84">
        <w:rPr>
          <w:rFonts w:asciiTheme="minorEastAsia" w:eastAsiaTheme="minorEastAsia" w:hAnsiTheme="minorEastAsia"/>
          <w:sz w:val="24"/>
        </w:rPr>
        <w:t>PMDAに治験届を提出し、</w:t>
      </w:r>
      <w:r w:rsidR="00185A3F" w:rsidRPr="007B1C84">
        <w:rPr>
          <w:rFonts w:asciiTheme="minorEastAsia" w:eastAsiaTheme="minorEastAsia" w:hAnsiTheme="minorEastAsia"/>
          <w:sz w:val="24"/>
        </w:rPr>
        <w:t>2016</w:t>
      </w:r>
      <w:r w:rsidR="00185A3F" w:rsidRPr="007B1C84">
        <w:rPr>
          <w:rFonts w:asciiTheme="minorEastAsia" w:eastAsiaTheme="minorEastAsia" w:hAnsiTheme="minorEastAsia" w:hint="eastAsia"/>
          <w:sz w:val="24"/>
        </w:rPr>
        <w:t>年</w:t>
      </w:r>
      <w:r w:rsidRPr="007B1C84">
        <w:rPr>
          <w:rFonts w:asciiTheme="minorEastAsia" w:eastAsiaTheme="minorEastAsia" w:hAnsiTheme="minorEastAsia"/>
          <w:sz w:val="24"/>
        </w:rPr>
        <w:t>1月25日以降</w:t>
      </w:r>
      <w:r w:rsidR="00C2111B" w:rsidRPr="007B1C84">
        <w:rPr>
          <w:rFonts w:asciiTheme="minorEastAsia" w:eastAsiaTheme="minorEastAsia" w:hAnsiTheme="minorEastAsia" w:hint="eastAsia"/>
          <w:sz w:val="24"/>
        </w:rPr>
        <w:t>に</w:t>
      </w:r>
      <w:r w:rsidRPr="007B1C84">
        <w:rPr>
          <w:rFonts w:asciiTheme="minorEastAsia" w:eastAsiaTheme="minorEastAsia" w:hAnsiTheme="minorEastAsia" w:hint="eastAsia"/>
          <w:sz w:val="24"/>
        </w:rPr>
        <w:t>開始可能となっています。治験は</w:t>
      </w:r>
      <w:r w:rsidRPr="007B1C84">
        <w:rPr>
          <w:rFonts w:asciiTheme="minorEastAsia" w:eastAsiaTheme="minorEastAsia" w:hAnsiTheme="minorEastAsia"/>
          <w:sz w:val="24"/>
        </w:rPr>
        <w:t>2017年3月までを予定</w:t>
      </w:r>
      <w:r w:rsidR="000F211A" w:rsidRPr="007B1C84">
        <w:rPr>
          <w:rFonts w:asciiTheme="minorEastAsia" w:eastAsiaTheme="minorEastAsia" w:hAnsiTheme="minorEastAsia" w:hint="eastAsia"/>
          <w:sz w:val="24"/>
        </w:rPr>
        <w:t>し</w:t>
      </w:r>
      <w:r w:rsidRPr="007B1C84">
        <w:rPr>
          <w:rFonts w:asciiTheme="minorEastAsia" w:eastAsiaTheme="minorEastAsia" w:hAnsiTheme="minorEastAsia" w:hint="eastAsia"/>
          <w:sz w:val="24"/>
        </w:rPr>
        <w:t>て</w:t>
      </w:r>
      <w:r w:rsidR="000F211A" w:rsidRPr="007B1C84">
        <w:rPr>
          <w:rFonts w:asciiTheme="minorEastAsia" w:eastAsiaTheme="minorEastAsia" w:hAnsiTheme="minorEastAsia" w:hint="eastAsia"/>
          <w:sz w:val="24"/>
        </w:rPr>
        <w:t>い</w:t>
      </w:r>
      <w:r w:rsidRPr="007B1C84">
        <w:rPr>
          <w:rFonts w:asciiTheme="minorEastAsia" w:eastAsiaTheme="minorEastAsia" w:hAnsiTheme="minorEastAsia" w:hint="eastAsia"/>
          <w:sz w:val="24"/>
        </w:rPr>
        <w:t>ます。治験薬は現在、海外で臨床試験に使用されている薬剤が協力企業（ノーベルファーマ株式会社）から提供されます。</w:t>
      </w:r>
    </w:p>
    <w:p w14:paraId="70D76180" w14:textId="77777777" w:rsidR="00C600E0" w:rsidRPr="007B1C84" w:rsidRDefault="00C600E0" w:rsidP="00C600E0">
      <w:pPr>
        <w:pStyle w:val="af"/>
        <w:spacing w:line="340" w:lineRule="exact"/>
        <w:rPr>
          <w:rFonts w:asciiTheme="minorEastAsia" w:eastAsiaTheme="minorEastAsia" w:hAnsiTheme="minorEastAsia"/>
          <w:sz w:val="24"/>
        </w:rPr>
      </w:pPr>
    </w:p>
    <w:p w14:paraId="1481D1AD" w14:textId="2D4ACA6B" w:rsidR="0073023D"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 xml:space="preserve">　今回の第</w:t>
      </w:r>
      <w:r w:rsidRPr="007B1C84">
        <w:rPr>
          <w:rFonts w:asciiTheme="minorEastAsia" w:eastAsiaTheme="minorEastAsia" w:hAnsiTheme="minorEastAsia"/>
          <w:sz w:val="24"/>
        </w:rPr>
        <w:t>II/III相試験は日本の</w:t>
      </w:r>
      <w:r w:rsidR="00CE4092" w:rsidRPr="007B1C84">
        <w:rPr>
          <w:rFonts w:asciiTheme="minorEastAsia" w:eastAsiaTheme="minorEastAsia" w:hAnsiTheme="minorEastAsia"/>
          <w:sz w:val="24"/>
        </w:rPr>
        <w:t>GNEミオパチー</w:t>
      </w:r>
      <w:r w:rsidRPr="007B1C84">
        <w:rPr>
          <w:rFonts w:asciiTheme="minorEastAsia" w:eastAsiaTheme="minorEastAsia" w:hAnsiTheme="minorEastAsia" w:hint="eastAsia"/>
          <w:sz w:val="24"/>
        </w:rPr>
        <w:t>患者を対象に治療効果を判定し、実際に治療薬として臨床使用できるかどうかを判断するための非常に重要な試験です。</w:t>
      </w:r>
      <w:r w:rsidR="0073023D" w:rsidRPr="007B1C84">
        <w:rPr>
          <w:rFonts w:asciiTheme="minorEastAsia" w:eastAsiaTheme="minorEastAsia" w:hAnsiTheme="minorEastAsia" w:hint="eastAsia"/>
          <w:sz w:val="24"/>
        </w:rPr>
        <w:t>尚、</w:t>
      </w:r>
      <w:r w:rsidRPr="007B1C84">
        <w:rPr>
          <w:rFonts w:asciiTheme="minorEastAsia" w:eastAsiaTheme="minorEastAsia" w:hAnsiTheme="minorEastAsia" w:hint="eastAsia"/>
          <w:sz w:val="24"/>
        </w:rPr>
        <w:t>本治験情報は</w:t>
      </w:r>
      <w:r w:rsidR="004101EB" w:rsidRPr="007B1C84">
        <w:rPr>
          <w:rFonts w:asciiTheme="minorEastAsia" w:eastAsiaTheme="minorEastAsia" w:hAnsiTheme="minorEastAsia" w:cs="ヒラギノ角ゴ ProN W3" w:hint="eastAsia"/>
          <w:kern w:val="0"/>
          <w:sz w:val="24"/>
        </w:rPr>
        <w:t>大学病院医療情報ネットワーク</w:t>
      </w:r>
      <w:r w:rsidR="004101EB" w:rsidRPr="007B1C84">
        <w:rPr>
          <w:rFonts w:asciiTheme="minorEastAsia" w:eastAsiaTheme="minorEastAsia" w:hAnsiTheme="minorEastAsia" w:cs="ヒラギノ角ゴ ProN W3"/>
          <w:kern w:val="0"/>
          <w:sz w:val="24"/>
        </w:rPr>
        <w:t>University Hospital Medical Information Network</w:t>
      </w:r>
      <w:r w:rsidR="004101EB" w:rsidRPr="007B1C84">
        <w:rPr>
          <w:rFonts w:asciiTheme="minorEastAsia" w:eastAsiaTheme="minorEastAsia" w:hAnsiTheme="minorEastAsia" w:cs="ヒラギノ角ゴ ProN W3" w:hint="eastAsia"/>
          <w:kern w:val="0"/>
          <w:sz w:val="24"/>
        </w:rPr>
        <w:t>（</w:t>
      </w:r>
      <w:r w:rsidR="004101EB" w:rsidRPr="007B1C84">
        <w:rPr>
          <w:rFonts w:asciiTheme="minorEastAsia" w:eastAsiaTheme="minorEastAsia" w:hAnsiTheme="minorEastAsia" w:cs="ヒラギノ角ゴ ProN W3"/>
          <w:kern w:val="0"/>
          <w:sz w:val="24"/>
        </w:rPr>
        <w:t>UMIN</w:t>
      </w:r>
      <w:r w:rsidR="004101EB" w:rsidRPr="007B1C84">
        <w:rPr>
          <w:rFonts w:asciiTheme="minorEastAsia" w:eastAsiaTheme="minorEastAsia" w:hAnsiTheme="minorEastAsia" w:cs="ヒラギノ角ゴ ProN W3" w:hint="eastAsia"/>
          <w:kern w:val="0"/>
          <w:sz w:val="24"/>
        </w:rPr>
        <w:t>）臨床試験登録システム</w:t>
      </w:r>
      <w:r w:rsidR="004101EB" w:rsidRPr="007B1C84">
        <w:rPr>
          <w:rFonts w:asciiTheme="minorEastAsia" w:eastAsiaTheme="minorEastAsia" w:hAnsiTheme="minorEastAsia" w:cs="ヒラギノ角ゴ ProN W3"/>
          <w:kern w:val="0"/>
          <w:sz w:val="24"/>
        </w:rPr>
        <w:t>(UMIN-CTR) (</w:t>
      </w:r>
      <w:hyperlink r:id="rId14" w:history="1">
        <w:r w:rsidR="00693DC6" w:rsidRPr="007B1C84">
          <w:rPr>
            <w:rStyle w:val="a8"/>
            <w:rFonts w:asciiTheme="minorEastAsia" w:eastAsiaTheme="minorEastAsia" w:hAnsiTheme="minorEastAsia" w:cs="ヒラギノ角ゴ ProN W3"/>
            <w:color w:val="auto"/>
            <w:kern w:val="0"/>
            <w:sz w:val="24"/>
            <w:u w:val="none"/>
          </w:rPr>
          <w:t>http://www.umin.ac.jp/ctr/index-j.htm</w:t>
        </w:r>
      </w:hyperlink>
      <w:r w:rsidR="004101EB" w:rsidRPr="007B1C84">
        <w:rPr>
          <w:rFonts w:asciiTheme="minorEastAsia" w:eastAsiaTheme="minorEastAsia" w:hAnsiTheme="minorEastAsia" w:cs="ヒラギノ角ゴ ProN W3"/>
          <w:kern w:val="0"/>
          <w:sz w:val="24"/>
        </w:rPr>
        <w:t>)</w:t>
      </w:r>
      <w:r w:rsidR="004101EB" w:rsidRPr="007B1C84">
        <w:rPr>
          <w:rFonts w:asciiTheme="minorEastAsia" w:eastAsiaTheme="minorEastAsia" w:hAnsiTheme="minorEastAsia" w:cs="ヒラギノ角ゴ ProN W3" w:hint="eastAsia"/>
          <w:kern w:val="0"/>
          <w:sz w:val="24"/>
        </w:rPr>
        <w:t>にて</w:t>
      </w:r>
      <w:r w:rsidR="00CE4092" w:rsidRPr="007B1C84">
        <w:rPr>
          <w:rFonts w:asciiTheme="minorEastAsia" w:eastAsiaTheme="minorEastAsia" w:hAnsiTheme="minorEastAsia"/>
          <w:sz w:val="24"/>
        </w:rPr>
        <w:t>UMIN</w:t>
      </w:r>
      <w:r w:rsidR="00E9475D">
        <w:rPr>
          <w:rFonts w:asciiTheme="minorEastAsia" w:eastAsiaTheme="minorEastAsia" w:hAnsiTheme="minorEastAsia" w:hint="eastAsia"/>
          <w:sz w:val="24"/>
        </w:rPr>
        <w:t>ID</w:t>
      </w:r>
      <w:r w:rsidR="00CE4092" w:rsidRPr="007B1C84">
        <w:rPr>
          <w:rFonts w:asciiTheme="minorEastAsia" w:eastAsiaTheme="minorEastAsia" w:hAnsiTheme="minorEastAsia"/>
          <w:sz w:val="24"/>
        </w:rPr>
        <w:t>：000020683</w:t>
      </w:r>
      <w:r w:rsidR="004101EB" w:rsidRPr="007B1C84">
        <w:rPr>
          <w:rFonts w:asciiTheme="minorEastAsia" w:eastAsiaTheme="minorEastAsia" w:hAnsiTheme="minorEastAsia" w:hint="eastAsia"/>
          <w:sz w:val="24"/>
        </w:rPr>
        <w:t>として</w:t>
      </w:r>
      <w:r w:rsidRPr="007B1C84">
        <w:rPr>
          <w:rFonts w:asciiTheme="minorEastAsia" w:eastAsiaTheme="minorEastAsia" w:hAnsiTheme="minorEastAsia" w:hint="eastAsia"/>
          <w:sz w:val="24"/>
        </w:rPr>
        <w:t>公開されています。</w:t>
      </w:r>
    </w:p>
    <w:p w14:paraId="26A1BB66"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lastRenderedPageBreak/>
        <w:t>【参加基準】</w:t>
      </w:r>
    </w:p>
    <w:p w14:paraId="259EFC04"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「治験に参加できる基準」を満たし「治験に参加できない基準」に該当しないと推定される方</w:t>
      </w:r>
    </w:p>
    <w:p w14:paraId="5F36F5A0" w14:textId="77777777" w:rsidR="00C600E0" w:rsidRPr="007B1C84" w:rsidRDefault="00C600E0" w:rsidP="00C600E0">
      <w:pPr>
        <w:pStyle w:val="af"/>
        <w:spacing w:line="340" w:lineRule="exact"/>
        <w:rPr>
          <w:rFonts w:asciiTheme="minorEastAsia" w:eastAsiaTheme="minorEastAsia" w:hAnsiTheme="minorEastAsia"/>
          <w:sz w:val="24"/>
        </w:rPr>
      </w:pPr>
    </w:p>
    <w:p w14:paraId="5A79E29A"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「治験に参加できる基準」</w:t>
      </w:r>
    </w:p>
    <w:p w14:paraId="10F701DE"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以下の条件に該当する患者さんを対象としています。</w:t>
      </w:r>
    </w:p>
    <w:p w14:paraId="6F0F65E8" w14:textId="29442504" w:rsidR="00C600E0" w:rsidRDefault="00C600E0" w:rsidP="007B1C84">
      <w:pPr>
        <w:pStyle w:val="af"/>
        <w:numPr>
          <w:ilvl w:val="0"/>
          <w:numId w:val="3"/>
        </w:numPr>
        <w:spacing w:line="340" w:lineRule="exact"/>
        <w:rPr>
          <w:rFonts w:asciiTheme="minorEastAsia" w:eastAsiaTheme="minorEastAsia" w:hAnsiTheme="minorEastAsia"/>
          <w:sz w:val="24"/>
        </w:rPr>
      </w:pPr>
      <w:r w:rsidRPr="007B1C84">
        <w:rPr>
          <w:rFonts w:asciiTheme="minorEastAsia" w:eastAsiaTheme="minorEastAsia" w:hAnsiTheme="minorEastAsia"/>
          <w:sz w:val="24"/>
        </w:rPr>
        <w:t>20歳以上50歳以下の方。性別は問いません。</w:t>
      </w:r>
    </w:p>
    <w:p w14:paraId="3CC56154" w14:textId="3E99E606" w:rsidR="00C600E0" w:rsidRDefault="00C600E0" w:rsidP="007B1C84">
      <w:pPr>
        <w:pStyle w:val="af"/>
        <w:numPr>
          <w:ilvl w:val="0"/>
          <w:numId w:val="3"/>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この試験の内容の説明を受けた後、試験に関係する手順を実施する前にご自身の意思で文書による同意をした方。</w:t>
      </w:r>
    </w:p>
    <w:p w14:paraId="7B33AAA7" w14:textId="56B1C433" w:rsidR="00C600E0" w:rsidRDefault="00C600E0" w:rsidP="007B1C84">
      <w:pPr>
        <w:pStyle w:val="af"/>
        <w:numPr>
          <w:ilvl w:val="0"/>
          <w:numId w:val="3"/>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遺伝子を調べて</w:t>
      </w:r>
      <w:r w:rsidRPr="007B1C84">
        <w:rPr>
          <w:rFonts w:asciiTheme="minorEastAsia" w:eastAsiaTheme="minorEastAsia" w:hAnsiTheme="minorEastAsia"/>
          <w:sz w:val="24"/>
        </w:rPr>
        <w:t>GNEミオパチー（縁取り空胞を伴う遠位型ミオパチー）であることが確認でき</w:t>
      </w:r>
      <w:r w:rsidRPr="007B1C84">
        <w:rPr>
          <w:rFonts w:asciiTheme="minorEastAsia" w:eastAsiaTheme="minorEastAsia" w:hAnsiTheme="minorEastAsia" w:hint="eastAsia"/>
          <w:sz w:val="24"/>
        </w:rPr>
        <w:t>ている方。</w:t>
      </w:r>
    </w:p>
    <w:p w14:paraId="0826D264" w14:textId="06961CB0" w:rsidR="00C600E0" w:rsidRDefault="00C600E0" w:rsidP="007B1C84">
      <w:pPr>
        <w:pStyle w:val="af"/>
        <w:numPr>
          <w:ilvl w:val="0"/>
          <w:numId w:val="3"/>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筋力計による肘を伸ばしたときの筋力に再現性がある方（利き手の</w:t>
      </w:r>
      <w:r w:rsidRPr="007B1C84">
        <w:rPr>
          <w:rFonts w:asciiTheme="minorEastAsia" w:eastAsiaTheme="minorEastAsia" w:hAnsiTheme="minorEastAsia"/>
          <w:sz w:val="24"/>
        </w:rPr>
        <w:t>2回の測定値の相違が15％</w:t>
      </w:r>
      <w:r w:rsidRPr="007B1C84">
        <w:rPr>
          <w:rFonts w:asciiTheme="minorEastAsia" w:eastAsiaTheme="minorEastAsia" w:hAnsiTheme="minorEastAsia" w:hint="eastAsia"/>
          <w:sz w:val="24"/>
        </w:rPr>
        <w:t>未満）。</w:t>
      </w:r>
    </w:p>
    <w:p w14:paraId="5461F468" w14:textId="28D97531" w:rsidR="00C600E0" w:rsidRDefault="00C600E0" w:rsidP="007B1C84">
      <w:pPr>
        <w:pStyle w:val="af"/>
        <w:numPr>
          <w:ilvl w:val="0"/>
          <w:numId w:val="3"/>
        </w:numPr>
        <w:spacing w:line="340" w:lineRule="exact"/>
        <w:ind w:firstLine="923"/>
        <w:rPr>
          <w:rFonts w:asciiTheme="minorEastAsia" w:eastAsiaTheme="minorEastAsia" w:hAnsiTheme="minorEastAsia"/>
          <w:sz w:val="24"/>
        </w:rPr>
      </w:pPr>
      <w:r w:rsidRPr="007B1C84">
        <w:rPr>
          <w:rFonts w:asciiTheme="minorEastAsia" w:eastAsiaTheme="minorEastAsia" w:hAnsiTheme="minorEastAsia"/>
          <w:sz w:val="24"/>
        </w:rPr>
        <w:t>6分間歩行で杖、歩行器、車椅子、スクーターなどの補助具を使用せずに200m以上歩行出来る</w:t>
      </w:r>
      <w:r w:rsidRPr="007B1C84">
        <w:rPr>
          <w:rFonts w:asciiTheme="minorEastAsia" w:eastAsiaTheme="minorEastAsia" w:hAnsiTheme="minorEastAsia" w:hint="eastAsia"/>
          <w:sz w:val="24"/>
        </w:rPr>
        <w:t>方（足首装具は使用できます）又は</w:t>
      </w:r>
      <w:r w:rsidRPr="007B1C84">
        <w:rPr>
          <w:rFonts w:asciiTheme="minorEastAsia" w:eastAsiaTheme="minorEastAsia" w:hAnsiTheme="minorEastAsia"/>
          <w:sz w:val="24"/>
        </w:rPr>
        <w:t>200m未満歩行可能な方。</w:t>
      </w:r>
      <w:r w:rsidR="00207203" w:rsidRPr="007B1C84">
        <w:rPr>
          <w:rFonts w:asciiTheme="minorEastAsia" w:eastAsiaTheme="minorEastAsia" w:hAnsiTheme="minorEastAsia" w:hint="eastAsia"/>
          <w:sz w:val="24"/>
        </w:rPr>
        <w:t>（本試験では</w:t>
      </w:r>
      <w:r w:rsidR="00207203" w:rsidRPr="007B1C84">
        <w:rPr>
          <w:rFonts w:asciiTheme="minorEastAsia" w:eastAsiaTheme="minorEastAsia" w:hAnsiTheme="minorEastAsia"/>
          <w:sz w:val="24"/>
        </w:rPr>
        <w:t>6分間歩行で200m以</w:t>
      </w:r>
      <w:r w:rsidR="00207203" w:rsidRPr="007B1C84">
        <w:rPr>
          <w:rFonts w:asciiTheme="minorEastAsia" w:eastAsiaTheme="minorEastAsia" w:hAnsiTheme="minorEastAsia" w:hint="eastAsia"/>
          <w:sz w:val="24"/>
        </w:rPr>
        <w:t>上、短下肢装具で歩行可能な方を優先とさせていただきます。歩行機能を含めて有効性をよりはっきりと確認するためです。）</w:t>
      </w:r>
    </w:p>
    <w:p w14:paraId="4CEA2ED2" w14:textId="39719964" w:rsidR="00C600E0" w:rsidRDefault="00C600E0" w:rsidP="007B1C84">
      <w:pPr>
        <w:pStyle w:val="af"/>
        <w:numPr>
          <w:ilvl w:val="0"/>
          <w:numId w:val="3"/>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試験の処置を進んで受けることができる方。</w:t>
      </w:r>
    </w:p>
    <w:p w14:paraId="4F12FD7D" w14:textId="5EAC4478" w:rsidR="00C600E0" w:rsidRDefault="00C600E0" w:rsidP="007B1C84">
      <w:pPr>
        <w:pStyle w:val="af"/>
        <w:numPr>
          <w:ilvl w:val="0"/>
          <w:numId w:val="3"/>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子供を産むことが可能な方あるいはあなたのパートナーが</w:t>
      </w:r>
      <w:r w:rsidRPr="007B1C84">
        <w:rPr>
          <w:rFonts w:asciiTheme="minorEastAsia" w:eastAsiaTheme="minorEastAsia" w:hAnsiTheme="minorEastAsia"/>
          <w:sz w:val="24"/>
        </w:rPr>
        <w:tab/>
      </w:r>
      <w:r w:rsidRPr="007B1C84">
        <w:rPr>
          <w:rFonts w:asciiTheme="minorEastAsia" w:eastAsiaTheme="minorEastAsia" w:hAnsiTheme="minorEastAsia" w:hint="eastAsia"/>
          <w:sz w:val="24"/>
        </w:rPr>
        <w:t>子供を産むことが可能な場合は、同意書に署名してから治験薬の最終投与後</w:t>
      </w:r>
      <w:r w:rsidRPr="007B1C84">
        <w:rPr>
          <w:rFonts w:asciiTheme="minorEastAsia" w:eastAsiaTheme="minorEastAsia" w:hAnsiTheme="minorEastAsia"/>
          <w:sz w:val="24"/>
        </w:rPr>
        <w:t>3カ月まで医師が決めた有効な避妊をすることに同</w:t>
      </w:r>
      <w:r w:rsidRPr="007B1C84">
        <w:rPr>
          <w:rFonts w:asciiTheme="minorEastAsia" w:eastAsiaTheme="minorEastAsia" w:hAnsiTheme="minorEastAsia" w:hint="eastAsia"/>
          <w:sz w:val="24"/>
        </w:rPr>
        <w:t>意できる方。</w:t>
      </w:r>
    </w:p>
    <w:p w14:paraId="26937E07" w14:textId="6CC1CDC5" w:rsidR="00C600E0" w:rsidRPr="007B1C84" w:rsidRDefault="00C600E0" w:rsidP="007B1C84">
      <w:pPr>
        <w:pStyle w:val="af"/>
        <w:numPr>
          <w:ilvl w:val="0"/>
          <w:numId w:val="3"/>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妊娠可能な方はスクリーニング（試験参加前に行なわれる試験参加への適格性を確認する過程）及び試験中に妊娠検査を受けていただける方。閉経後少なくとも</w:t>
      </w:r>
      <w:r w:rsidRPr="007B1C84">
        <w:rPr>
          <w:rFonts w:asciiTheme="minorEastAsia" w:eastAsiaTheme="minorEastAsia" w:hAnsiTheme="minorEastAsia"/>
          <w:sz w:val="24"/>
        </w:rPr>
        <w:t>2年以上経過している方、卵</w:t>
      </w:r>
      <w:r w:rsidRPr="007B1C84">
        <w:rPr>
          <w:rFonts w:asciiTheme="minorEastAsia" w:eastAsiaTheme="minorEastAsia" w:hAnsiTheme="minorEastAsia" w:hint="eastAsia"/>
          <w:sz w:val="24"/>
        </w:rPr>
        <w:t>管結紮からスクリーニングまでに</w:t>
      </w:r>
      <w:r w:rsidRPr="007B1C84">
        <w:rPr>
          <w:rFonts w:asciiTheme="minorEastAsia" w:eastAsiaTheme="minorEastAsia" w:hAnsiTheme="minorEastAsia"/>
          <w:sz w:val="24"/>
        </w:rPr>
        <w:t>1年以上経過している方、子宮全摘術あるいは両側の卵管卵</w:t>
      </w:r>
      <w:r w:rsidRPr="007B1C84">
        <w:rPr>
          <w:rFonts w:asciiTheme="minorEastAsia" w:eastAsiaTheme="minorEastAsia" w:hAnsiTheme="minorEastAsia" w:hint="eastAsia"/>
          <w:sz w:val="24"/>
        </w:rPr>
        <w:t>巣摘出術を施行している方など、妊娠の可能性のないと考えられる方。</w:t>
      </w:r>
    </w:p>
    <w:p w14:paraId="03568F50" w14:textId="77777777" w:rsidR="00C600E0" w:rsidRPr="007B1C84" w:rsidRDefault="00C600E0" w:rsidP="00C600E0">
      <w:pPr>
        <w:pStyle w:val="af"/>
        <w:spacing w:line="340" w:lineRule="exact"/>
        <w:rPr>
          <w:rFonts w:asciiTheme="minorEastAsia" w:eastAsiaTheme="minorEastAsia" w:hAnsiTheme="minorEastAsia"/>
          <w:sz w:val="24"/>
        </w:rPr>
      </w:pPr>
    </w:p>
    <w:p w14:paraId="2AC4AF74"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「治験に参加できない基準」</w:t>
      </w:r>
    </w:p>
    <w:p w14:paraId="568BC23E"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以下の基準のいずれかに該当する方はこの治験に参加できません。</w:t>
      </w:r>
    </w:p>
    <w:p w14:paraId="4AA79AD7" w14:textId="0BA4D0C7" w:rsidR="00C600E0"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sz w:val="24"/>
        </w:rPr>
        <w:t>N-アセチル-D-マンノサミン（</w:t>
      </w:r>
      <w:proofErr w:type="spellStart"/>
      <w:r w:rsidRPr="007B1C84">
        <w:rPr>
          <w:rFonts w:asciiTheme="minorEastAsia" w:eastAsiaTheme="minorEastAsia" w:hAnsiTheme="minorEastAsia"/>
          <w:sz w:val="24"/>
        </w:rPr>
        <w:t>ManNAc</w:t>
      </w:r>
      <w:proofErr w:type="spellEnd"/>
      <w:r w:rsidRPr="007B1C84">
        <w:rPr>
          <w:rFonts w:asciiTheme="minorEastAsia" w:eastAsiaTheme="minorEastAsia" w:hAnsiTheme="minorEastAsia" w:hint="eastAsia"/>
          <w:sz w:val="24"/>
        </w:rPr>
        <w:t>）、シアル酸あるいは関連代謝物、静注免疫グロブリン製剤、シアル酸を多量に含む栄養補助食品（ホエー</w:t>
      </w:r>
      <w:r w:rsidR="00225283" w:rsidRPr="007B1C84">
        <w:rPr>
          <w:rFonts w:asciiTheme="minorEastAsia" w:eastAsiaTheme="minorEastAsia" w:hAnsiTheme="minorEastAsia" w:hint="eastAsia"/>
          <w:sz w:val="24"/>
          <w:vertAlign w:val="superscript"/>
        </w:rPr>
        <w:t>※</w:t>
      </w:r>
      <w:r w:rsidRPr="007B1C84">
        <w:rPr>
          <w:rFonts w:asciiTheme="minorEastAsia" w:eastAsiaTheme="minorEastAsia" w:hAnsiTheme="minorEastAsia" w:hint="eastAsia"/>
          <w:sz w:val="24"/>
        </w:rPr>
        <w:t>）など体の中で代謝されてシアル酸が生成するものをスクリーニング前</w:t>
      </w:r>
      <w:r w:rsidRPr="007B1C84">
        <w:rPr>
          <w:rFonts w:asciiTheme="minorEastAsia" w:eastAsiaTheme="minorEastAsia" w:hAnsiTheme="minorEastAsia"/>
          <w:sz w:val="24"/>
        </w:rPr>
        <w:t>60日以内に摂取した方。</w:t>
      </w:r>
    </w:p>
    <w:p w14:paraId="1AEC0D8A" w14:textId="3A3A74F5" w:rsidR="00C600E0"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過去の臨床試験において</w:t>
      </w:r>
      <w:r w:rsidRPr="007B1C84">
        <w:rPr>
          <w:rFonts w:asciiTheme="minorEastAsia" w:eastAsiaTheme="minorEastAsia" w:hAnsiTheme="minorEastAsia"/>
          <w:sz w:val="24"/>
        </w:rPr>
        <w:t>30日以上のシアル酸徐放錠（被験薬がゆっくり溶けて吸収されるよう</w:t>
      </w:r>
      <w:r w:rsidRPr="007B1C84">
        <w:rPr>
          <w:rFonts w:asciiTheme="minorEastAsia" w:eastAsiaTheme="minorEastAsia" w:hAnsiTheme="minorEastAsia" w:hint="eastAsia"/>
          <w:sz w:val="24"/>
        </w:rPr>
        <w:t>に工夫した錠剤：</w:t>
      </w:r>
      <w:r w:rsidRPr="007B1C84">
        <w:rPr>
          <w:rFonts w:asciiTheme="minorEastAsia" w:eastAsiaTheme="minorEastAsia" w:hAnsiTheme="minorEastAsia"/>
          <w:sz w:val="24"/>
        </w:rPr>
        <w:t>SA-ER）及び/又はシアル酸速放錠（普通製剤・徐放製剤のような工夫を行っ</w:t>
      </w:r>
      <w:r w:rsidRPr="007B1C84">
        <w:rPr>
          <w:rFonts w:asciiTheme="minorEastAsia" w:eastAsiaTheme="minorEastAsia" w:hAnsiTheme="minorEastAsia" w:hint="eastAsia"/>
          <w:sz w:val="24"/>
        </w:rPr>
        <w:t>ていない製剤：</w:t>
      </w:r>
      <w:r w:rsidRPr="007B1C84">
        <w:rPr>
          <w:rFonts w:asciiTheme="minorEastAsia" w:eastAsiaTheme="minorEastAsia" w:hAnsiTheme="minorEastAsia"/>
          <w:sz w:val="24"/>
        </w:rPr>
        <w:t>SA-IR）の治療歴がある方。</w:t>
      </w:r>
    </w:p>
    <w:p w14:paraId="6CD01C08" w14:textId="43B5AD07" w:rsidR="00C600E0"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治験薬（被験薬</w:t>
      </w:r>
      <w:r w:rsidRPr="007B1C84">
        <w:rPr>
          <w:rFonts w:asciiTheme="minorEastAsia" w:eastAsiaTheme="minorEastAsia" w:hAnsiTheme="minorEastAsia"/>
          <w:sz w:val="24"/>
        </w:rPr>
        <w:t>N-アセチルノイラミン酸又はプラセボ）又は治験薬を構成する賦形剤（錠剤に</w:t>
      </w:r>
      <w:r w:rsidRPr="007B1C84">
        <w:rPr>
          <w:rFonts w:asciiTheme="minorEastAsia" w:eastAsiaTheme="minorEastAsia" w:hAnsiTheme="minorEastAsia" w:hint="eastAsia"/>
          <w:sz w:val="24"/>
        </w:rPr>
        <w:t>するため使用している</w:t>
      </w:r>
      <w:r w:rsidRPr="007B1C84">
        <w:rPr>
          <w:rFonts w:asciiTheme="minorEastAsia" w:eastAsiaTheme="minorEastAsia" w:hAnsiTheme="minorEastAsia"/>
          <w:sz w:val="24"/>
        </w:rPr>
        <w:t>N-アセチルノイラミン酸以外の成分）に対して過敏症があり有害事象の</w:t>
      </w:r>
      <w:r w:rsidR="00225283" w:rsidRPr="007B1C84">
        <w:rPr>
          <w:rFonts w:asciiTheme="minorEastAsia" w:eastAsiaTheme="minorEastAsia" w:hAnsiTheme="minorEastAsia"/>
          <w:sz w:val="24"/>
        </w:rPr>
        <w:tab/>
      </w:r>
      <w:r w:rsidRPr="007B1C84">
        <w:rPr>
          <w:rFonts w:asciiTheme="minorEastAsia" w:eastAsiaTheme="minorEastAsia" w:hAnsiTheme="minorEastAsia" w:hint="eastAsia"/>
          <w:sz w:val="24"/>
        </w:rPr>
        <w:t>リスクが増加すると治験責任（分担）医師に判断された方。</w:t>
      </w:r>
    </w:p>
    <w:p w14:paraId="1564AA43" w14:textId="14348A3B" w:rsidR="00A30D50" w:rsidRPr="007B1C84"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スクリーニングの検査において、肝機能（</w:t>
      </w:r>
      <w:r w:rsidRPr="007B1C84">
        <w:rPr>
          <w:rFonts w:asciiTheme="minorEastAsia" w:eastAsiaTheme="minorEastAsia" w:hAnsiTheme="minorEastAsia"/>
          <w:sz w:val="24"/>
        </w:rPr>
        <w:t>AST、ALT、γ-GTP）検査値が年齢、性別における基</w:t>
      </w:r>
      <w:r w:rsidRPr="007B1C84">
        <w:rPr>
          <w:rFonts w:asciiTheme="minorEastAsia" w:eastAsiaTheme="minorEastAsia" w:hAnsiTheme="minorEastAsia" w:hint="eastAsia"/>
          <w:sz w:val="24"/>
        </w:rPr>
        <w:t>準値上限の</w:t>
      </w:r>
      <w:r w:rsidRPr="007B1C84">
        <w:rPr>
          <w:rFonts w:asciiTheme="minorEastAsia" w:eastAsiaTheme="minorEastAsia" w:hAnsiTheme="minorEastAsia"/>
          <w:sz w:val="24"/>
        </w:rPr>
        <w:t>3倍を超えた方。あるいはスクリーニング時血清クレアチニン値が基準値の2倍を</w:t>
      </w:r>
      <w:r w:rsidR="00225283" w:rsidRPr="007B1C84">
        <w:rPr>
          <w:rFonts w:asciiTheme="minorEastAsia" w:eastAsiaTheme="minorEastAsia" w:hAnsiTheme="minorEastAsia"/>
          <w:sz w:val="24"/>
        </w:rPr>
        <w:tab/>
      </w:r>
      <w:r w:rsidRPr="007B1C84">
        <w:rPr>
          <w:rFonts w:asciiTheme="minorEastAsia" w:eastAsiaTheme="minorEastAsia" w:hAnsiTheme="minorEastAsia" w:hint="eastAsia"/>
          <w:sz w:val="24"/>
        </w:rPr>
        <w:t>超えた方。</w:t>
      </w:r>
    </w:p>
    <w:p w14:paraId="332CB5D0" w14:textId="121B14CE" w:rsidR="00A30D50" w:rsidRPr="007B1C84"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ご自身又はパートナーが、スクリーニング時に妊娠中又は授乳中の方、あるいは試験中に妊娠の予定がある方。</w:t>
      </w:r>
    </w:p>
    <w:p w14:paraId="39B16D13" w14:textId="3EE88491" w:rsidR="00A30D50" w:rsidRPr="007B1C84"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スクリーニング前</w:t>
      </w:r>
      <w:r w:rsidRPr="007B1C84">
        <w:rPr>
          <w:rFonts w:asciiTheme="minorEastAsia" w:eastAsiaTheme="minorEastAsia" w:hAnsiTheme="minorEastAsia"/>
          <w:sz w:val="24"/>
        </w:rPr>
        <w:t>30日以内に別の治験の治験薬を服用又は治験医療器具を使用した方、あるい</w:t>
      </w:r>
      <w:r w:rsidRPr="007B1C84">
        <w:rPr>
          <w:rFonts w:asciiTheme="minorEastAsia" w:eastAsiaTheme="minorEastAsia" w:hAnsiTheme="minorEastAsia" w:hint="eastAsia"/>
          <w:sz w:val="24"/>
        </w:rPr>
        <w:t>は試験のすべての評価が終了する前に別の治験の治験薬使用が予想される方。</w:t>
      </w:r>
    </w:p>
    <w:p w14:paraId="528B5740" w14:textId="5F5979EA" w:rsidR="00A30D50" w:rsidRPr="007B1C84"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lastRenderedPageBreak/>
        <w:t>直ちに外科的介入または他の治療が必要な状態にある、あるいは試験に安全に参加することが出来ないほど重症の状態にあると治験の担当医師が判断した方。</w:t>
      </w:r>
    </w:p>
    <w:p w14:paraId="6DA0B854" w14:textId="0BA614AF" w:rsidR="00A30D50" w:rsidRPr="007B1C84"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合併症、自殺念慮（自殺をしたいと心をめぐらすこと）あるいは他の症状のために治療が十分に出来ない、試験が完了できない、試験参加に支障がある、安全に影響するなどのリスクが高</w:t>
      </w:r>
      <w:r w:rsidR="00225283" w:rsidRPr="007B1C84">
        <w:rPr>
          <w:rFonts w:asciiTheme="minorEastAsia" w:eastAsiaTheme="minorEastAsia" w:hAnsiTheme="minorEastAsia"/>
          <w:sz w:val="24"/>
        </w:rPr>
        <w:tab/>
      </w:r>
      <w:r w:rsidRPr="007B1C84">
        <w:rPr>
          <w:rFonts w:asciiTheme="minorEastAsia" w:eastAsiaTheme="minorEastAsia" w:hAnsiTheme="minorEastAsia" w:hint="eastAsia"/>
          <w:sz w:val="24"/>
        </w:rPr>
        <w:t>いと治験の担当医師が判断した方。</w:t>
      </w:r>
    </w:p>
    <w:p w14:paraId="2A0616F7" w14:textId="6C821D4A" w:rsidR="00A30D50" w:rsidRPr="007B1C84"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スクリーニング前</w:t>
      </w:r>
      <w:r w:rsidRPr="007B1C84">
        <w:rPr>
          <w:rFonts w:asciiTheme="minorEastAsia" w:eastAsiaTheme="minorEastAsia" w:hAnsiTheme="minorEastAsia"/>
          <w:sz w:val="24"/>
        </w:rPr>
        <w:t>16週以内に400 mL以上の献血をし方。</w:t>
      </w:r>
    </w:p>
    <w:p w14:paraId="661C377C" w14:textId="6A144603" w:rsidR="00A30D50" w:rsidRPr="007B1C84"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アルコール依存と判断された患者さん、又は薬物依存のある方。</w:t>
      </w:r>
    </w:p>
    <w:p w14:paraId="619505D9" w14:textId="26CEE304" w:rsidR="00C600E0" w:rsidRPr="007B1C84" w:rsidRDefault="00C600E0" w:rsidP="007B1C84">
      <w:pPr>
        <w:pStyle w:val="af"/>
        <w:numPr>
          <w:ilvl w:val="0"/>
          <w:numId w:val="5"/>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その他、治験の担当医師が治験への参加は適切でないと判断した方。</w:t>
      </w:r>
    </w:p>
    <w:p w14:paraId="2D0E451A" w14:textId="77777777" w:rsidR="00C600E0" w:rsidRPr="007B1C84" w:rsidRDefault="00C600E0" w:rsidP="00C600E0">
      <w:pPr>
        <w:pStyle w:val="af"/>
        <w:spacing w:line="340" w:lineRule="exact"/>
        <w:rPr>
          <w:rFonts w:asciiTheme="minorEastAsia" w:eastAsiaTheme="minorEastAsia" w:hAnsiTheme="minorEastAsia"/>
          <w:sz w:val="24"/>
        </w:rPr>
      </w:pPr>
    </w:p>
    <w:p w14:paraId="177DC62C" w14:textId="53434B04" w:rsidR="00C600E0" w:rsidRPr="007B1C84" w:rsidRDefault="00225283"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 xml:space="preserve">　※</w:t>
      </w:r>
      <w:r w:rsidRPr="007B1C84">
        <w:rPr>
          <w:rFonts w:asciiTheme="minorEastAsia" w:eastAsiaTheme="minorEastAsia" w:hAnsiTheme="minorEastAsia"/>
          <w:sz w:val="24"/>
        </w:rPr>
        <w:tab/>
      </w:r>
      <w:r w:rsidR="00C600E0" w:rsidRPr="007B1C84">
        <w:rPr>
          <w:rFonts w:asciiTheme="minorEastAsia" w:eastAsiaTheme="minorEastAsia" w:hAnsiTheme="minorEastAsia" w:hint="eastAsia"/>
          <w:sz w:val="24"/>
        </w:rPr>
        <w:t>ホエー：乳（牛乳）から乳脂肪分やたんぱく質などを除いた液体部分（ヨーグルトを放置して</w:t>
      </w:r>
      <w:r w:rsidRPr="007B1C84">
        <w:rPr>
          <w:rFonts w:asciiTheme="minorEastAsia" w:eastAsiaTheme="minorEastAsia" w:hAnsiTheme="minorEastAsia"/>
          <w:sz w:val="24"/>
        </w:rPr>
        <w:tab/>
      </w:r>
      <w:r w:rsidR="00C600E0" w:rsidRPr="007B1C84">
        <w:rPr>
          <w:rFonts w:asciiTheme="minorEastAsia" w:eastAsiaTheme="minorEastAsia" w:hAnsiTheme="minorEastAsia" w:hint="eastAsia"/>
          <w:sz w:val="24"/>
        </w:rPr>
        <w:t>おいた時にたまる上澄み部分もホエーです。）</w:t>
      </w:r>
    </w:p>
    <w:p w14:paraId="4F2843A6" w14:textId="77777777" w:rsidR="00C600E0" w:rsidRPr="007B1C84" w:rsidRDefault="00C600E0" w:rsidP="00C600E0">
      <w:pPr>
        <w:pStyle w:val="af"/>
        <w:spacing w:line="340" w:lineRule="exact"/>
        <w:rPr>
          <w:rFonts w:asciiTheme="minorEastAsia" w:eastAsiaTheme="minorEastAsia" w:hAnsiTheme="minorEastAsia"/>
          <w:sz w:val="24"/>
        </w:rPr>
      </w:pPr>
    </w:p>
    <w:p w14:paraId="56B823F3" w14:textId="5DB2765A"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「治験に参加できる基準」のいずれにも該当し、「治験に参加できない基準」に該当しない患者さんのうち、治験参加に同意いただいた患者さんに治験薬を服用していただきます。ただし、</w:t>
      </w:r>
      <w:r w:rsidRPr="007B1C84">
        <w:rPr>
          <w:rFonts w:asciiTheme="minorEastAsia" w:eastAsiaTheme="minorEastAsia" w:hAnsiTheme="minorEastAsia"/>
          <w:sz w:val="24"/>
        </w:rPr>
        <w:t>6分間歩行試験（6MWT）での歩行距離や性別により参加人数に制限を設けていますので、決められた人数に達した場合は、参加できないこともあることをご了承ください。この治験は全国５施設で実施し、約20名の患者さんに参加していただく予定です。</w:t>
      </w:r>
    </w:p>
    <w:p w14:paraId="714809A6" w14:textId="77777777" w:rsidR="00C600E0" w:rsidRPr="007B1C84" w:rsidRDefault="00C600E0" w:rsidP="00C600E0">
      <w:pPr>
        <w:pStyle w:val="af"/>
        <w:spacing w:line="340" w:lineRule="exact"/>
        <w:rPr>
          <w:rFonts w:asciiTheme="minorEastAsia" w:eastAsiaTheme="minorEastAsia" w:hAnsiTheme="minorEastAsia"/>
          <w:sz w:val="24"/>
        </w:rPr>
      </w:pPr>
    </w:p>
    <w:p w14:paraId="73A7267A"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【治験参加期間】</w:t>
      </w:r>
      <w:r w:rsidRPr="007B1C84">
        <w:rPr>
          <w:rFonts w:asciiTheme="minorEastAsia" w:eastAsiaTheme="minorEastAsia" w:hAnsiTheme="minorEastAsia"/>
          <w:sz w:val="24"/>
        </w:rPr>
        <w:t xml:space="preserve"> </w:t>
      </w:r>
    </w:p>
    <w:p w14:paraId="6E7C1C37"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この治験にご協力いただくために必要な期間は、次の通りです。</w:t>
      </w:r>
    </w:p>
    <w:p w14:paraId="153B9A40" w14:textId="69E7E8F1" w:rsidR="00A30D50" w:rsidRDefault="00C600E0" w:rsidP="007B1C84">
      <w:pPr>
        <w:pStyle w:val="af"/>
        <w:numPr>
          <w:ilvl w:val="0"/>
          <w:numId w:val="6"/>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スクリーニングから服用開始まで（</w:t>
      </w:r>
      <w:r w:rsidRPr="007B1C84">
        <w:rPr>
          <w:rFonts w:asciiTheme="minorEastAsia" w:eastAsiaTheme="minorEastAsia" w:hAnsiTheme="minorEastAsia"/>
          <w:sz w:val="24"/>
        </w:rPr>
        <w:t>1～4週間）</w:t>
      </w:r>
    </w:p>
    <w:p w14:paraId="2DDED7F7" w14:textId="00E05340" w:rsidR="00A30D50" w:rsidRDefault="00C600E0" w:rsidP="007B1C84">
      <w:pPr>
        <w:pStyle w:val="af"/>
        <w:numPr>
          <w:ilvl w:val="0"/>
          <w:numId w:val="6"/>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治験薬の服用期間（</w:t>
      </w:r>
      <w:r w:rsidRPr="007B1C84">
        <w:rPr>
          <w:rFonts w:asciiTheme="minorEastAsia" w:eastAsiaTheme="minorEastAsia" w:hAnsiTheme="minorEastAsia"/>
          <w:sz w:val="24"/>
        </w:rPr>
        <w:t>48週間）</w:t>
      </w:r>
    </w:p>
    <w:p w14:paraId="31957564" w14:textId="77777777" w:rsidR="00C600E0" w:rsidRPr="007B1C84" w:rsidRDefault="00C600E0" w:rsidP="007B1C84">
      <w:pPr>
        <w:pStyle w:val="af"/>
        <w:numPr>
          <w:ilvl w:val="0"/>
          <w:numId w:val="6"/>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服用終了後観察期間（</w:t>
      </w:r>
      <w:r w:rsidRPr="007B1C84">
        <w:rPr>
          <w:rFonts w:asciiTheme="minorEastAsia" w:eastAsiaTheme="minorEastAsia" w:hAnsiTheme="minorEastAsia"/>
          <w:sz w:val="24"/>
        </w:rPr>
        <w:t>4週間）</w:t>
      </w:r>
    </w:p>
    <w:p w14:paraId="4DC5463C" w14:textId="77777777" w:rsidR="00C600E0" w:rsidRPr="007B1C84" w:rsidRDefault="00C600E0" w:rsidP="00C600E0">
      <w:pPr>
        <w:pStyle w:val="af"/>
        <w:spacing w:line="340" w:lineRule="exact"/>
        <w:rPr>
          <w:rFonts w:asciiTheme="minorEastAsia" w:eastAsiaTheme="minorEastAsia" w:hAnsiTheme="minorEastAsia"/>
          <w:sz w:val="24"/>
        </w:rPr>
      </w:pPr>
    </w:p>
    <w:p w14:paraId="24243B86"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【治験薬の用法・用量について】</w:t>
      </w:r>
    </w:p>
    <w:p w14:paraId="1D0C4159" w14:textId="65D42E11" w:rsidR="00C600E0" w:rsidRPr="007B1C84" w:rsidRDefault="00A30D50" w:rsidP="00C600E0">
      <w:pPr>
        <w:pStyle w:val="af"/>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C600E0" w:rsidRPr="007B1C84">
        <w:rPr>
          <w:rFonts w:asciiTheme="minorEastAsia" w:eastAsiaTheme="minorEastAsia" w:hAnsiTheme="minorEastAsia" w:hint="eastAsia"/>
          <w:sz w:val="24"/>
        </w:rPr>
        <w:t>治験参加に同意をされた患者さんにはスクリーニングの診察、評価、検査を実施していただきます。その結果、治験に参加をすることになった場合は、スクリーニングの</w:t>
      </w:r>
      <w:r w:rsidR="00C600E0" w:rsidRPr="007B1C84">
        <w:rPr>
          <w:rFonts w:asciiTheme="minorEastAsia" w:eastAsiaTheme="minorEastAsia" w:hAnsiTheme="minorEastAsia"/>
          <w:sz w:val="24"/>
        </w:rPr>
        <w:t>1～4週後に再度来院していただき、試験開始前の診察、評価、検査をして、決められた治験薬の服用を開始していただきます。治験薬は被験薬N-アセチルノイラミン酸の500㎎入りの徐放製剤又はそのプラセボで1回4錠1日3回（原則として朝、夕、就寝前）服用していただきます。</w:t>
      </w:r>
    </w:p>
    <w:p w14:paraId="7A33B99D"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今回の治験では、</w:t>
      </w:r>
      <w:r w:rsidRPr="007B1C84">
        <w:rPr>
          <w:rFonts w:asciiTheme="minorEastAsia" w:eastAsiaTheme="minorEastAsia" w:hAnsiTheme="minorEastAsia"/>
          <w:sz w:val="24"/>
        </w:rPr>
        <w:t>16名の方がN-アセチルノイラミン酸投与群、4名の方がプラセボ投与群になります。あなたがどの投与群になるかは、それぞれ、80%、20%の確率で無作為に決定（ランダム化といいます）されます。なおあなたがどの投与群になるかは、あなたにも治験の担当医師などの病院のスタッフにも、わからないようになっています。これは、有効成分が含まれていないプラセボであっても、被験薬と信じて服用すると被験薬を飲んでいるという心理的な安心感などから、効いてしまうことがあるからです。これをプラセボ効果といいます。N-アセチルノイラミン酸を服用している方での効果とプラセボを服用している方での効果を比較することで、このプラセボ効果を差し引いた効果を調べることができ、N-アセチルノイラミン酸の有効性、安全性を客観的に評価できるようになります。このような治験の進め方を二重盲検法といい、一般的な治験の実施方法です。</w:t>
      </w:r>
    </w:p>
    <w:p w14:paraId="2D64A469" w14:textId="1A361AD3" w:rsidR="00C600E0" w:rsidRPr="007B1C84" w:rsidRDefault="00A30D50" w:rsidP="00C600E0">
      <w:pPr>
        <w:pStyle w:val="af"/>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C600E0" w:rsidRPr="007B1C84">
        <w:rPr>
          <w:rFonts w:asciiTheme="minorEastAsia" w:eastAsiaTheme="minorEastAsia" w:hAnsiTheme="minorEastAsia" w:hint="eastAsia"/>
          <w:sz w:val="24"/>
        </w:rPr>
        <w:t>服用間隔は</w:t>
      </w:r>
      <w:r w:rsidR="00C600E0" w:rsidRPr="007B1C84">
        <w:rPr>
          <w:rFonts w:asciiTheme="minorEastAsia" w:eastAsiaTheme="minorEastAsia" w:hAnsiTheme="minorEastAsia"/>
          <w:sz w:val="24"/>
        </w:rPr>
        <w:t>8時間くらいが望ましいですが、3回目の服用では食事を就寝2時間前くらいまでには済ませて、その後で服用してください。</w:t>
      </w:r>
    </w:p>
    <w:p w14:paraId="09042B09" w14:textId="51FF195C" w:rsidR="00C600E0" w:rsidRPr="007B1C84" w:rsidRDefault="00A30D50" w:rsidP="00C600E0">
      <w:pPr>
        <w:pStyle w:val="af"/>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C600E0" w:rsidRPr="007B1C84">
        <w:rPr>
          <w:rFonts w:asciiTheme="minorEastAsia" w:eastAsiaTheme="minorEastAsia" w:hAnsiTheme="minorEastAsia" w:hint="eastAsia"/>
          <w:sz w:val="24"/>
        </w:rPr>
        <w:t>まず、服用を開始してから</w:t>
      </w:r>
      <w:r w:rsidR="00C600E0" w:rsidRPr="007B1C84">
        <w:rPr>
          <w:rFonts w:asciiTheme="minorEastAsia" w:eastAsiaTheme="minorEastAsia" w:hAnsiTheme="minorEastAsia"/>
          <w:sz w:val="24"/>
        </w:rPr>
        <w:t>4週後に治験の担当医師から電話連絡を受けて病気の症状や有害</w:t>
      </w:r>
      <w:r w:rsidR="00C600E0" w:rsidRPr="007B1C84">
        <w:rPr>
          <w:rFonts w:asciiTheme="minorEastAsia" w:eastAsiaTheme="minorEastAsia" w:hAnsiTheme="minorEastAsia"/>
          <w:sz w:val="24"/>
        </w:rPr>
        <w:lastRenderedPageBreak/>
        <w:t>事象（治験薬との関連性に関係なく、試験中に起きたあらゆる好ましくない医療上の出来事）などを確認されます。服用を開始してからは8週ごとに来院していただき、診察、評価、検査をしていただきます。服用する期間は48週間です。服用をやめてから4週後にも来院していただき診察、評価、検査をしていただきます。</w:t>
      </w:r>
    </w:p>
    <w:p w14:paraId="7FF3B868" w14:textId="77777777" w:rsidR="00C600E0" w:rsidRPr="007B1C84" w:rsidRDefault="00C600E0" w:rsidP="00C600E0">
      <w:pPr>
        <w:pStyle w:val="af"/>
        <w:spacing w:line="340" w:lineRule="exact"/>
        <w:rPr>
          <w:rFonts w:asciiTheme="minorEastAsia" w:eastAsiaTheme="minorEastAsia" w:hAnsiTheme="minorEastAsia"/>
          <w:sz w:val="24"/>
        </w:rPr>
      </w:pPr>
    </w:p>
    <w:p w14:paraId="5CEF506F"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【予測される治験薬による利益及び不利益】</w:t>
      </w:r>
      <w:r w:rsidRPr="007B1C84">
        <w:rPr>
          <w:rFonts w:asciiTheme="minorEastAsia" w:eastAsiaTheme="minorEastAsia" w:hAnsiTheme="minorEastAsia"/>
          <w:sz w:val="24"/>
        </w:rPr>
        <w:t xml:space="preserve">   </w:t>
      </w:r>
    </w:p>
    <w:p w14:paraId="63EDA078" w14:textId="7B32C36A" w:rsidR="00C600E0" w:rsidRPr="007B1C84" w:rsidRDefault="00C600E0" w:rsidP="007B1C84">
      <w:pPr>
        <w:pStyle w:val="af"/>
        <w:numPr>
          <w:ilvl w:val="0"/>
          <w:numId w:val="7"/>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予測される治験薬による被験者の心身の健康に対する利益</w:t>
      </w:r>
      <w:r w:rsidRPr="007B1C84">
        <w:rPr>
          <w:rFonts w:asciiTheme="minorEastAsia" w:eastAsiaTheme="minorEastAsia" w:hAnsiTheme="minorEastAsia"/>
          <w:sz w:val="24"/>
        </w:rPr>
        <w:t xml:space="preserve"> </w:t>
      </w:r>
    </w:p>
    <w:p w14:paraId="2E31F5E2"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sz w:val="24"/>
        </w:rPr>
        <w:t>N-アセチルノイラミン酸の海外の第Ⅱ相試験で1日6gの48週間投与により有効性が示唆（腕や手などの上肢の筋力が、治験薬投与前に比べて維持される）されましたので、現在その効果を確認する第Ⅲ相試験を海外で実施しております。本試験は海外と同様の試験計画で有効性と安全性を確認するものです。本試験で得られたデータと海外試験のデータを総合して、有効性を確認し協力企業が日本での製造販売承認申請をする予定にしております。</w:t>
      </w:r>
    </w:p>
    <w:p w14:paraId="4DB2B438" w14:textId="77777777"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sz w:val="24"/>
        </w:rPr>
        <w:t xml:space="preserve"> </w:t>
      </w:r>
    </w:p>
    <w:p w14:paraId="5BB8AF5E" w14:textId="6DA0087C" w:rsidR="00C600E0" w:rsidRPr="007B1C84" w:rsidRDefault="00C600E0" w:rsidP="007B1C84">
      <w:pPr>
        <w:pStyle w:val="af"/>
        <w:numPr>
          <w:ilvl w:val="0"/>
          <w:numId w:val="7"/>
        </w:numPr>
        <w:spacing w:line="340" w:lineRule="exact"/>
        <w:rPr>
          <w:rFonts w:asciiTheme="minorEastAsia" w:eastAsiaTheme="minorEastAsia" w:hAnsiTheme="minorEastAsia"/>
          <w:sz w:val="24"/>
        </w:rPr>
      </w:pPr>
      <w:r w:rsidRPr="007B1C84">
        <w:rPr>
          <w:rFonts w:asciiTheme="minorEastAsia" w:eastAsiaTheme="minorEastAsia" w:hAnsiTheme="minorEastAsia" w:hint="eastAsia"/>
          <w:sz w:val="24"/>
        </w:rPr>
        <w:t>予測される被験者に対する不利益</w:t>
      </w:r>
      <w:r w:rsidRPr="007B1C84">
        <w:rPr>
          <w:rFonts w:asciiTheme="minorEastAsia" w:eastAsiaTheme="minorEastAsia" w:hAnsiTheme="minorEastAsia"/>
          <w:sz w:val="24"/>
        </w:rPr>
        <w:t xml:space="preserve"> </w:t>
      </w:r>
    </w:p>
    <w:p w14:paraId="572C9FFC" w14:textId="51D224E5" w:rsidR="00C600E0" w:rsidRPr="007B1C84" w:rsidRDefault="00C600E0" w:rsidP="00C600E0">
      <w:pPr>
        <w:pStyle w:val="af"/>
        <w:spacing w:line="340" w:lineRule="exact"/>
        <w:rPr>
          <w:rFonts w:asciiTheme="minorEastAsia" w:eastAsiaTheme="minorEastAsia" w:hAnsiTheme="minorEastAsia"/>
          <w:sz w:val="24"/>
        </w:rPr>
      </w:pPr>
      <w:r w:rsidRPr="007B1C84">
        <w:rPr>
          <w:rFonts w:asciiTheme="minorEastAsia" w:eastAsiaTheme="minorEastAsia" w:hAnsiTheme="minorEastAsia"/>
          <w:sz w:val="24"/>
        </w:rPr>
        <w:t>7日間までの国内（</w:t>
      </w:r>
      <w:r w:rsidR="00A30D50">
        <w:rPr>
          <w:rFonts w:asciiTheme="minorEastAsia" w:eastAsiaTheme="minorEastAsia" w:hAnsiTheme="minorEastAsia" w:hint="eastAsia"/>
          <w:sz w:val="24"/>
        </w:rPr>
        <w:t>12</w:t>
      </w:r>
      <w:r w:rsidRPr="007B1C84">
        <w:rPr>
          <w:rFonts w:asciiTheme="minorEastAsia" w:eastAsiaTheme="minorEastAsia" w:hAnsiTheme="minorEastAsia"/>
          <w:sz w:val="24"/>
        </w:rPr>
        <w:t>例（延べ</w:t>
      </w:r>
      <w:r w:rsidR="00A30D50">
        <w:rPr>
          <w:rFonts w:asciiTheme="minorEastAsia" w:eastAsiaTheme="minorEastAsia" w:hAnsiTheme="minorEastAsia" w:hint="eastAsia"/>
          <w:sz w:val="24"/>
        </w:rPr>
        <w:t>18</w:t>
      </w:r>
      <w:r w:rsidRPr="007B1C84">
        <w:rPr>
          <w:rFonts w:asciiTheme="minorEastAsia" w:eastAsiaTheme="minorEastAsia" w:hAnsiTheme="minorEastAsia"/>
          <w:sz w:val="24"/>
        </w:rPr>
        <w:t>例））並びに米国（26例（延べ56例））において実施された第Ⅰ相試験で確認された有害事象は、いずれも軽微（症状などが軽いこと）で、臨床的に問題となる有害事象はありませんでした。海外では、第Ⅱ相試験に続き、現在第Ⅲ相試験を実施中ですが、これまで臨床的に大きな問題となる有害事象は発現していないと判断しております。</w:t>
      </w:r>
    </w:p>
    <w:p w14:paraId="04B14235" w14:textId="77777777" w:rsidR="00C600E0" w:rsidRPr="00C600E0" w:rsidRDefault="00C600E0" w:rsidP="00C600E0">
      <w:pPr>
        <w:pStyle w:val="af"/>
        <w:spacing w:line="340" w:lineRule="exact"/>
        <w:rPr>
          <w:rFonts w:asciiTheme="minorEastAsia" w:eastAsiaTheme="minorEastAsia" w:hAnsiTheme="minorEastAsia"/>
          <w:sz w:val="22"/>
          <w:szCs w:val="22"/>
        </w:rPr>
      </w:pPr>
    </w:p>
    <w:p w14:paraId="1F45B104" w14:textId="75FB1636" w:rsidR="00C600E0" w:rsidRDefault="00C600E0" w:rsidP="005E2A57">
      <w:pPr>
        <w:pStyle w:val="af0"/>
      </w:pPr>
    </w:p>
    <w:p w14:paraId="4FA49E0D" w14:textId="77777777" w:rsidR="00925333" w:rsidRDefault="00925333" w:rsidP="005E2A57">
      <w:pPr>
        <w:pStyle w:val="af"/>
        <w:spacing w:line="340" w:lineRule="exact"/>
        <w:jc w:val="right"/>
        <w:rPr>
          <w:rFonts w:asciiTheme="minorEastAsia" w:eastAsiaTheme="minorEastAsia" w:hAnsiTheme="minorEastAsia"/>
          <w:sz w:val="22"/>
          <w:szCs w:val="22"/>
        </w:rPr>
      </w:pPr>
    </w:p>
    <w:p w14:paraId="79502A04" w14:textId="77777777" w:rsidR="00925333" w:rsidRPr="00C600E0" w:rsidRDefault="00925333" w:rsidP="005E2A57">
      <w:pPr>
        <w:pStyle w:val="af"/>
        <w:spacing w:line="340" w:lineRule="exact"/>
        <w:jc w:val="right"/>
        <w:rPr>
          <w:rFonts w:asciiTheme="minorEastAsia" w:eastAsiaTheme="minorEastAsia" w:hAnsiTheme="minorEastAsia"/>
          <w:sz w:val="22"/>
          <w:szCs w:val="22"/>
        </w:rPr>
      </w:pPr>
    </w:p>
    <w:tbl>
      <w:tblPr>
        <w:tblW w:w="0" w:type="auto"/>
        <w:jc w:val="right"/>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D33EAC" w:rsidRPr="00C600E0" w14:paraId="1FB6CEA2" w14:textId="77777777" w:rsidTr="007B1C84">
        <w:trPr>
          <w:trHeight w:val="4190"/>
          <w:jc w:val="right"/>
        </w:trPr>
        <w:tc>
          <w:tcPr>
            <w:tcW w:w="4536" w:type="dxa"/>
            <w:tcMar>
              <w:top w:w="284" w:type="dxa"/>
              <w:left w:w="57" w:type="dxa"/>
              <w:bottom w:w="284" w:type="dxa"/>
              <w:right w:w="57" w:type="dxa"/>
            </w:tcMar>
          </w:tcPr>
          <w:p w14:paraId="1FCECDF8" w14:textId="77777777" w:rsidR="00C600E0" w:rsidRPr="007B1C84" w:rsidRDefault="00C600E0" w:rsidP="00C600E0">
            <w:pPr>
              <w:pStyle w:val="af"/>
              <w:spacing w:line="340" w:lineRule="exact"/>
              <w:rPr>
                <w:rFonts w:ascii="ＭＳ ゴシック" w:eastAsia="ＭＳ ゴシック" w:hAnsi="ＭＳ ゴシック"/>
                <w:sz w:val="22"/>
                <w:szCs w:val="22"/>
              </w:rPr>
            </w:pPr>
            <w:r w:rsidRPr="007B1C84">
              <w:rPr>
                <w:rFonts w:ascii="ＭＳ ゴシック" w:eastAsia="ＭＳ ゴシック" w:hAnsi="ＭＳ ゴシック" w:hint="eastAsia"/>
                <w:sz w:val="22"/>
                <w:szCs w:val="22"/>
              </w:rPr>
              <w:t>【お問い合わせ先】</w:t>
            </w:r>
          </w:p>
          <w:p w14:paraId="5BC07237" w14:textId="77777777" w:rsidR="00C600E0" w:rsidRPr="007B1C84" w:rsidRDefault="00C600E0" w:rsidP="00C600E0">
            <w:pPr>
              <w:pStyle w:val="af"/>
              <w:spacing w:line="340" w:lineRule="exact"/>
              <w:rPr>
                <w:rFonts w:ascii="ＭＳ ゴシック" w:eastAsia="ＭＳ ゴシック" w:hAnsi="ＭＳ ゴシック"/>
                <w:sz w:val="22"/>
                <w:szCs w:val="22"/>
              </w:rPr>
            </w:pPr>
            <w:r w:rsidRPr="007B1C84">
              <w:rPr>
                <w:rFonts w:ascii="ＭＳ ゴシック" w:eastAsia="ＭＳ ゴシック" w:hAnsi="ＭＳ ゴシック" w:hint="eastAsia"/>
                <w:sz w:val="22"/>
                <w:szCs w:val="22"/>
              </w:rPr>
              <w:t>（治験に関すること）</w:t>
            </w:r>
          </w:p>
          <w:p w14:paraId="00EAA0FE" w14:textId="77777777" w:rsidR="00C600E0" w:rsidRPr="007B1C84" w:rsidRDefault="00C600E0" w:rsidP="00C600E0">
            <w:pPr>
              <w:pStyle w:val="af"/>
              <w:spacing w:line="340" w:lineRule="exact"/>
              <w:rPr>
                <w:rFonts w:ascii="ＭＳ 明朝" w:hAnsi="ＭＳ 明朝"/>
                <w:sz w:val="22"/>
                <w:szCs w:val="22"/>
              </w:rPr>
            </w:pPr>
            <w:r w:rsidRPr="007B1C84">
              <w:rPr>
                <w:rFonts w:ascii="ＭＳ 明朝" w:hAnsi="ＭＳ 明朝" w:hint="eastAsia"/>
                <w:sz w:val="22"/>
                <w:szCs w:val="22"/>
              </w:rPr>
              <w:t>東北大学大学院医学系研究科神経内科学分野</w:t>
            </w:r>
          </w:p>
          <w:p w14:paraId="442EF129" w14:textId="77777777" w:rsidR="00C600E0" w:rsidRPr="007B1C84" w:rsidRDefault="00C600E0" w:rsidP="00C600E0">
            <w:pPr>
              <w:pStyle w:val="af"/>
              <w:spacing w:line="340" w:lineRule="exact"/>
              <w:rPr>
                <w:rFonts w:ascii="ＭＳ 明朝" w:hAnsi="ＭＳ 明朝"/>
                <w:sz w:val="22"/>
                <w:szCs w:val="22"/>
              </w:rPr>
            </w:pPr>
            <w:r w:rsidRPr="007B1C84">
              <w:rPr>
                <w:rFonts w:ascii="ＭＳ 明朝" w:hAnsi="ＭＳ 明朝"/>
                <w:sz w:val="22"/>
                <w:szCs w:val="22"/>
              </w:rPr>
              <w:t xml:space="preserve"> 助教　鈴木　直輝 （すずき　なおき）</w:t>
            </w:r>
          </w:p>
          <w:p w14:paraId="44463484" w14:textId="77777777" w:rsidR="00C600E0" w:rsidRPr="007B1C84" w:rsidRDefault="00C600E0" w:rsidP="00C600E0">
            <w:pPr>
              <w:pStyle w:val="af"/>
              <w:spacing w:line="340" w:lineRule="exact"/>
              <w:rPr>
                <w:rFonts w:ascii="ＭＳ 明朝" w:hAnsi="ＭＳ 明朝"/>
                <w:sz w:val="22"/>
                <w:szCs w:val="22"/>
              </w:rPr>
            </w:pPr>
            <w:r w:rsidRPr="007B1C84">
              <w:rPr>
                <w:rFonts w:ascii="ＭＳ 明朝" w:hAnsi="ＭＳ 明朝"/>
                <w:sz w:val="22"/>
                <w:szCs w:val="22"/>
              </w:rPr>
              <w:t xml:space="preserve"> </w:t>
            </w:r>
            <w:r w:rsidRPr="007B1C84">
              <w:rPr>
                <w:rFonts w:ascii="ＭＳ 明朝" w:hAnsi="ＭＳ 明朝" w:hint="eastAsia"/>
                <w:sz w:val="22"/>
                <w:szCs w:val="22"/>
              </w:rPr>
              <w:t>電話番号：</w:t>
            </w:r>
            <w:r w:rsidRPr="007B1C84">
              <w:rPr>
                <w:rFonts w:ascii="ＭＳ 明朝" w:hAnsi="ＭＳ 明朝"/>
                <w:sz w:val="22"/>
                <w:szCs w:val="22"/>
              </w:rPr>
              <w:t>022-717-7189</w:t>
            </w:r>
          </w:p>
          <w:p w14:paraId="54598EDC" w14:textId="77777777" w:rsidR="00C600E0" w:rsidRPr="007B1C84" w:rsidRDefault="00C600E0" w:rsidP="00C600E0">
            <w:pPr>
              <w:pStyle w:val="af"/>
              <w:spacing w:line="340" w:lineRule="exact"/>
              <w:rPr>
                <w:rFonts w:ascii="ＭＳ 明朝" w:hAnsi="ＭＳ 明朝"/>
                <w:sz w:val="22"/>
                <w:szCs w:val="22"/>
              </w:rPr>
            </w:pPr>
            <w:r w:rsidRPr="007B1C84">
              <w:rPr>
                <w:rFonts w:ascii="ＭＳ 明朝" w:hAnsi="ＭＳ 明朝"/>
                <w:sz w:val="22"/>
                <w:szCs w:val="22"/>
              </w:rPr>
              <w:t xml:space="preserve"> </w:t>
            </w:r>
            <w:r w:rsidRPr="007B1C84">
              <w:rPr>
                <w:rFonts w:ascii="ＭＳ 明朝" w:hAnsi="ＭＳ 明朝" w:hint="eastAsia"/>
                <w:sz w:val="22"/>
                <w:szCs w:val="22"/>
              </w:rPr>
              <w:t>ファックス：</w:t>
            </w:r>
            <w:r w:rsidRPr="007B1C84">
              <w:rPr>
                <w:rFonts w:ascii="ＭＳ 明朝" w:hAnsi="ＭＳ 明朝"/>
                <w:sz w:val="22"/>
                <w:szCs w:val="22"/>
              </w:rPr>
              <w:t>022-717-7192</w:t>
            </w:r>
          </w:p>
          <w:p w14:paraId="0ACA5EC6" w14:textId="05DE54D7" w:rsidR="00C600E0" w:rsidRPr="007B1C84" w:rsidRDefault="00C600E0" w:rsidP="00C600E0">
            <w:pPr>
              <w:pStyle w:val="af"/>
              <w:spacing w:line="340" w:lineRule="exact"/>
              <w:rPr>
                <w:rFonts w:ascii="ＭＳ ゴシック" w:eastAsia="ＭＳ ゴシック" w:hAnsi="ＭＳ ゴシック"/>
                <w:sz w:val="22"/>
                <w:szCs w:val="22"/>
              </w:rPr>
            </w:pPr>
            <w:r w:rsidRPr="007B1C84">
              <w:rPr>
                <w:rFonts w:ascii="ＭＳ 明朝" w:hAnsi="ＭＳ 明朝"/>
                <w:sz w:val="22"/>
                <w:szCs w:val="22"/>
              </w:rPr>
              <w:t xml:space="preserve"> </w:t>
            </w:r>
            <w:r w:rsidRPr="007B1C84">
              <w:rPr>
                <w:rFonts w:ascii="ＭＳ 明朝" w:hAnsi="ＭＳ 明朝" w:hint="eastAsia"/>
                <w:sz w:val="22"/>
                <w:szCs w:val="22"/>
              </w:rPr>
              <w:t>Ｅメール：</w:t>
            </w:r>
            <w:r w:rsidRPr="007B1C84">
              <w:rPr>
                <w:rFonts w:ascii="ＭＳ 明朝" w:hAnsi="ＭＳ 明朝"/>
                <w:sz w:val="22"/>
                <w:szCs w:val="22"/>
              </w:rPr>
              <w:t>naoki@med.tohoku.ac.jp</w:t>
            </w:r>
          </w:p>
          <w:p w14:paraId="10A28509" w14:textId="77777777" w:rsidR="00440CFD" w:rsidRPr="007B1C84" w:rsidRDefault="00440CFD" w:rsidP="00C600E0">
            <w:pPr>
              <w:pStyle w:val="af"/>
              <w:wordWrap w:val="0"/>
              <w:autoSpaceDE w:val="0"/>
              <w:autoSpaceDN w:val="0"/>
              <w:adjustRightInd w:val="0"/>
              <w:spacing w:line="340" w:lineRule="exact"/>
              <w:rPr>
                <w:rFonts w:ascii="ＭＳ ゴシック" w:eastAsia="ＭＳ ゴシック" w:hAnsi="ＭＳ ゴシック"/>
                <w:sz w:val="22"/>
                <w:szCs w:val="22"/>
              </w:rPr>
            </w:pPr>
          </w:p>
          <w:p w14:paraId="45D6591A" w14:textId="77777777" w:rsidR="00440CFD" w:rsidRPr="007B1C84" w:rsidRDefault="00440CFD" w:rsidP="00C600E0">
            <w:pPr>
              <w:pStyle w:val="af"/>
              <w:spacing w:line="340" w:lineRule="exact"/>
              <w:rPr>
                <w:rFonts w:ascii="ＭＳ ゴシック" w:eastAsia="ＭＳ ゴシック" w:hAnsi="ＭＳ ゴシック"/>
                <w:sz w:val="22"/>
                <w:szCs w:val="22"/>
              </w:rPr>
            </w:pPr>
            <w:r w:rsidRPr="007B1C84">
              <w:rPr>
                <w:rFonts w:ascii="ＭＳ ゴシック" w:eastAsia="ＭＳ ゴシック" w:hAnsi="ＭＳ ゴシック" w:hint="eastAsia"/>
                <w:sz w:val="22"/>
                <w:szCs w:val="22"/>
              </w:rPr>
              <w:t>（報道担当）</w:t>
            </w:r>
          </w:p>
          <w:p w14:paraId="4B250214" w14:textId="77777777" w:rsidR="00440CFD" w:rsidRPr="007B1C84" w:rsidRDefault="00440CFD" w:rsidP="00C600E0">
            <w:pPr>
              <w:pStyle w:val="af"/>
              <w:spacing w:line="340" w:lineRule="exact"/>
              <w:rPr>
                <w:rFonts w:asciiTheme="minorEastAsia" w:eastAsiaTheme="minorEastAsia" w:hAnsiTheme="minorEastAsia"/>
                <w:sz w:val="22"/>
                <w:szCs w:val="22"/>
              </w:rPr>
            </w:pPr>
            <w:r w:rsidRPr="007B1C84">
              <w:rPr>
                <w:rFonts w:asciiTheme="minorEastAsia" w:eastAsiaTheme="minorEastAsia" w:hAnsiTheme="minorEastAsia" w:hint="eastAsia"/>
                <w:sz w:val="22"/>
                <w:szCs w:val="22"/>
              </w:rPr>
              <w:t>東北大学</w:t>
            </w:r>
            <w:r w:rsidR="00C34D49" w:rsidRPr="007B1C84">
              <w:rPr>
                <w:rFonts w:asciiTheme="minorEastAsia" w:eastAsiaTheme="minorEastAsia" w:hAnsiTheme="minorEastAsia" w:hint="eastAsia"/>
                <w:sz w:val="22"/>
                <w:szCs w:val="22"/>
              </w:rPr>
              <w:t>病院</w:t>
            </w:r>
            <w:r w:rsidR="005E50F2" w:rsidRPr="007B1C84">
              <w:rPr>
                <w:rFonts w:asciiTheme="minorEastAsia" w:eastAsiaTheme="minorEastAsia" w:hAnsiTheme="minorEastAsia" w:hint="eastAsia"/>
                <w:sz w:val="22"/>
                <w:szCs w:val="22"/>
              </w:rPr>
              <w:t>広報室</w:t>
            </w:r>
          </w:p>
          <w:p w14:paraId="65CD859E" w14:textId="3D6961F2" w:rsidR="00440CFD" w:rsidRPr="007B1C84" w:rsidRDefault="00C600E0" w:rsidP="00C600E0">
            <w:pPr>
              <w:pStyle w:val="af"/>
              <w:spacing w:line="340" w:lineRule="exact"/>
              <w:rPr>
                <w:rFonts w:asciiTheme="minorEastAsia" w:eastAsiaTheme="minorEastAsia" w:hAnsiTheme="minorEastAsia"/>
                <w:sz w:val="22"/>
                <w:szCs w:val="22"/>
              </w:rPr>
            </w:pPr>
            <w:r w:rsidRPr="007B1C84">
              <w:rPr>
                <w:rFonts w:asciiTheme="minorEastAsia" w:eastAsiaTheme="minorEastAsia" w:hAnsiTheme="minorEastAsia"/>
                <w:sz w:val="22"/>
                <w:szCs w:val="22"/>
              </w:rPr>
              <w:t xml:space="preserve"> </w:t>
            </w:r>
            <w:r w:rsidR="00440CFD" w:rsidRPr="007B1C84">
              <w:rPr>
                <w:rFonts w:asciiTheme="minorEastAsia" w:eastAsiaTheme="minorEastAsia" w:hAnsiTheme="minorEastAsia" w:hint="eastAsia"/>
                <w:sz w:val="22"/>
                <w:szCs w:val="22"/>
              </w:rPr>
              <w:t>電話番号：</w:t>
            </w:r>
            <w:r w:rsidR="00440CFD" w:rsidRPr="007B1C84">
              <w:rPr>
                <w:rFonts w:asciiTheme="minorEastAsia" w:eastAsiaTheme="minorEastAsia" w:hAnsiTheme="minorEastAsia"/>
                <w:sz w:val="22"/>
                <w:szCs w:val="22"/>
              </w:rPr>
              <w:t>022-717-</w:t>
            </w:r>
            <w:r w:rsidR="005E50F2" w:rsidRPr="007B1C84">
              <w:rPr>
                <w:rFonts w:asciiTheme="minorEastAsia" w:eastAsiaTheme="minorEastAsia" w:hAnsiTheme="minorEastAsia"/>
                <w:sz w:val="22"/>
                <w:szCs w:val="22"/>
              </w:rPr>
              <w:t>7</w:t>
            </w:r>
            <w:r w:rsidR="00C34D49" w:rsidRPr="007B1C84">
              <w:rPr>
                <w:rFonts w:asciiTheme="minorEastAsia" w:eastAsiaTheme="minorEastAsia" w:hAnsiTheme="minorEastAsia"/>
                <w:sz w:val="22"/>
                <w:szCs w:val="22"/>
              </w:rPr>
              <w:t>149</w:t>
            </w:r>
          </w:p>
          <w:p w14:paraId="188BDBC3" w14:textId="0EDF5057" w:rsidR="00440CFD" w:rsidRPr="007B1C84" w:rsidRDefault="00C600E0" w:rsidP="00C600E0">
            <w:pPr>
              <w:pStyle w:val="af"/>
              <w:spacing w:line="340" w:lineRule="exact"/>
              <w:rPr>
                <w:rFonts w:asciiTheme="minorEastAsia" w:eastAsiaTheme="minorEastAsia" w:hAnsiTheme="minorEastAsia"/>
                <w:sz w:val="22"/>
                <w:szCs w:val="22"/>
              </w:rPr>
            </w:pPr>
            <w:r w:rsidRPr="007B1C84">
              <w:rPr>
                <w:rFonts w:asciiTheme="minorEastAsia" w:eastAsiaTheme="minorEastAsia" w:hAnsiTheme="minorEastAsia"/>
                <w:sz w:val="22"/>
                <w:szCs w:val="22"/>
              </w:rPr>
              <w:t xml:space="preserve"> </w:t>
            </w:r>
            <w:r w:rsidR="00440CFD" w:rsidRPr="007B1C84">
              <w:rPr>
                <w:rFonts w:asciiTheme="minorEastAsia" w:eastAsiaTheme="minorEastAsia" w:hAnsiTheme="minorEastAsia" w:hint="eastAsia"/>
                <w:sz w:val="22"/>
                <w:szCs w:val="22"/>
              </w:rPr>
              <w:t>ファックス：</w:t>
            </w:r>
            <w:r w:rsidR="00440CFD" w:rsidRPr="007B1C84">
              <w:rPr>
                <w:rFonts w:asciiTheme="minorEastAsia" w:eastAsiaTheme="minorEastAsia" w:hAnsiTheme="minorEastAsia"/>
                <w:sz w:val="22"/>
                <w:szCs w:val="22"/>
              </w:rPr>
              <w:t>022-717-</w:t>
            </w:r>
            <w:r w:rsidR="00BC0A74" w:rsidRPr="007B1C84">
              <w:rPr>
                <w:rFonts w:asciiTheme="minorEastAsia" w:eastAsiaTheme="minorEastAsia" w:hAnsiTheme="minorEastAsia"/>
                <w:sz w:val="22"/>
                <w:szCs w:val="22"/>
              </w:rPr>
              <w:t>8</w:t>
            </w:r>
            <w:r w:rsidR="00C34D49" w:rsidRPr="007B1C84">
              <w:rPr>
                <w:rFonts w:asciiTheme="minorEastAsia" w:eastAsiaTheme="minorEastAsia" w:hAnsiTheme="minorEastAsia"/>
                <w:sz w:val="22"/>
                <w:szCs w:val="22"/>
              </w:rPr>
              <w:t>931</w:t>
            </w:r>
          </w:p>
          <w:p w14:paraId="487A87C1" w14:textId="2819E1C3" w:rsidR="00440CFD" w:rsidRPr="00C600E0" w:rsidRDefault="00C600E0" w:rsidP="00C600E0">
            <w:pPr>
              <w:pStyle w:val="af"/>
              <w:spacing w:line="340" w:lineRule="exact"/>
              <w:rPr>
                <w:rFonts w:ascii="ＭＳ ゴシック" w:eastAsia="ＭＳ ゴシック" w:hAnsi="ＭＳ ゴシック"/>
                <w:sz w:val="20"/>
                <w:szCs w:val="20"/>
              </w:rPr>
            </w:pPr>
            <w:r w:rsidRPr="007B1C84">
              <w:rPr>
                <w:rFonts w:asciiTheme="minorEastAsia" w:eastAsiaTheme="minorEastAsia" w:hAnsiTheme="minorEastAsia"/>
                <w:sz w:val="22"/>
                <w:szCs w:val="22"/>
              </w:rPr>
              <w:t xml:space="preserve"> </w:t>
            </w:r>
            <w:r w:rsidR="00440CFD" w:rsidRPr="007B1C84">
              <w:rPr>
                <w:rFonts w:asciiTheme="minorEastAsia" w:eastAsiaTheme="minorEastAsia" w:hAnsiTheme="minorEastAsia" w:hint="eastAsia"/>
                <w:sz w:val="22"/>
                <w:szCs w:val="22"/>
              </w:rPr>
              <w:t>Ｅメール：</w:t>
            </w:r>
            <w:r w:rsidR="00C34D49" w:rsidRPr="007B1C84">
              <w:rPr>
                <w:rFonts w:asciiTheme="minorEastAsia" w:eastAsiaTheme="minorEastAsia" w:hAnsiTheme="minorEastAsia"/>
                <w:sz w:val="22"/>
                <w:szCs w:val="22"/>
              </w:rPr>
              <w:t>pr</w:t>
            </w:r>
            <w:r w:rsidR="006523E9" w:rsidRPr="007B1C84">
              <w:rPr>
                <w:rFonts w:asciiTheme="minorEastAsia" w:eastAsiaTheme="minorEastAsia" w:hAnsiTheme="minorEastAsia"/>
                <w:sz w:val="22"/>
                <w:szCs w:val="22"/>
              </w:rPr>
              <w:t>@</w:t>
            </w:r>
            <w:r w:rsidR="00C34D49" w:rsidRPr="007B1C84">
              <w:rPr>
                <w:rFonts w:asciiTheme="minorEastAsia" w:eastAsiaTheme="minorEastAsia" w:hAnsiTheme="minorEastAsia"/>
                <w:sz w:val="22"/>
                <w:szCs w:val="22"/>
              </w:rPr>
              <w:t>hosp</w:t>
            </w:r>
            <w:r w:rsidR="00440CFD" w:rsidRPr="007B1C84">
              <w:rPr>
                <w:rFonts w:asciiTheme="minorEastAsia" w:eastAsiaTheme="minorEastAsia" w:hAnsiTheme="minorEastAsia"/>
                <w:sz w:val="22"/>
                <w:szCs w:val="22"/>
              </w:rPr>
              <w:t>.tohoku.ac.jp</w:t>
            </w:r>
          </w:p>
        </w:tc>
      </w:tr>
    </w:tbl>
    <w:p w14:paraId="4321D652" w14:textId="77777777" w:rsidR="006D56D7" w:rsidRPr="00F170FB" w:rsidRDefault="006D56D7" w:rsidP="00F170FB">
      <w:pPr>
        <w:pStyle w:val="af"/>
        <w:rPr>
          <w:rFonts w:ascii="ＭＳ ゴシック" w:eastAsia="ＭＳ ゴシック" w:hAnsi="ＭＳ ゴシック"/>
        </w:rPr>
      </w:pPr>
    </w:p>
    <w:sectPr w:rsidR="006D56D7" w:rsidRPr="00F170FB" w:rsidSect="007B1C84">
      <w:footerReference w:type="default" r:id="rId15"/>
      <w:pgSz w:w="11906" w:h="16838" w:code="9"/>
      <w:pgMar w:top="1134" w:right="1134" w:bottom="851" w:left="1134" w:header="720" w:footer="720" w:gutter="0"/>
      <w:pgNumType w:fmt="decimalFullWidth" w:start="0"/>
      <w:cols w:space="720"/>
      <w:noEndnote/>
      <w:titlePg/>
      <w:docGrid w:type="linesAndChars" w:linePitch="286" w:charSpace="-18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26A01" w14:textId="77777777" w:rsidR="00572E40" w:rsidRDefault="00572E40">
      <w:r>
        <w:separator/>
      </w:r>
    </w:p>
  </w:endnote>
  <w:endnote w:type="continuationSeparator" w:id="0">
    <w:p w14:paraId="05662AAC" w14:textId="77777777" w:rsidR="00572E40" w:rsidRDefault="0057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Ｐ明朝">
    <w:panose1 w:val="02020600040205080304"/>
    <w:charset w:val="4E"/>
    <w:family w:val="auto"/>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Angsana New">
    <w:panose1 w:val="00000000000000000000"/>
    <w:charset w:val="DE"/>
    <w:family w:val="roman"/>
    <w:notTrueType/>
    <w:pitch w:val="variable"/>
    <w:sig w:usb0="01000001" w:usb1="00000000" w:usb2="00000000" w:usb3="00000000" w:csb0="00010000"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AA3AB" w14:textId="77777777" w:rsidR="00A07D73" w:rsidRDefault="00A07D73" w:rsidP="005516F5">
    <w:pPr>
      <w:pStyle w:val="a3"/>
      <w:spacing w:line="240" w:lineRule="auto"/>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A4D07" w14:textId="77777777" w:rsidR="00572E40" w:rsidRDefault="00572E40">
      <w:r>
        <w:separator/>
      </w:r>
    </w:p>
  </w:footnote>
  <w:footnote w:type="continuationSeparator" w:id="0">
    <w:p w14:paraId="269CEAC2" w14:textId="77777777" w:rsidR="00572E40" w:rsidRDefault="00572E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F27B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F0782"/>
    <w:multiLevelType w:val="hybridMultilevel"/>
    <w:tmpl w:val="98522D14"/>
    <w:lvl w:ilvl="0" w:tplc="44BE7F2E">
      <w:start w:val="3"/>
      <w:numFmt w:val="bullet"/>
      <w:lvlText w:val="○"/>
      <w:lvlJc w:val="left"/>
      <w:pPr>
        <w:tabs>
          <w:tab w:val="num" w:pos="1261"/>
        </w:tabs>
        <w:ind w:left="1261" w:hanging="540"/>
      </w:pPr>
      <w:rPr>
        <w:rFonts w:ascii="ＭＳ 明朝" w:eastAsia="ＭＳ 明朝" w:hAnsi="ＭＳ 明朝" w:cs="ＭＳ 明朝" w:hint="eastAsia"/>
        <w:u w:val="none"/>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2">
    <w:nsid w:val="20B446AE"/>
    <w:multiLevelType w:val="hybridMultilevel"/>
    <w:tmpl w:val="3A846E3A"/>
    <w:lvl w:ilvl="0" w:tplc="2A0C7C0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554EC4"/>
    <w:multiLevelType w:val="hybridMultilevel"/>
    <w:tmpl w:val="75E2E5F2"/>
    <w:lvl w:ilvl="0" w:tplc="7D4400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15B7E"/>
    <w:multiLevelType w:val="hybridMultilevel"/>
    <w:tmpl w:val="8668A3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FA769A"/>
    <w:multiLevelType w:val="hybridMultilevel"/>
    <w:tmpl w:val="6CC2D9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EF83389"/>
    <w:multiLevelType w:val="hybridMultilevel"/>
    <w:tmpl w:val="BDBEB302"/>
    <w:lvl w:ilvl="0" w:tplc="17405B7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20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1B"/>
    <w:rsid w:val="000237F9"/>
    <w:rsid w:val="00050A0A"/>
    <w:rsid w:val="00065707"/>
    <w:rsid w:val="00067EFB"/>
    <w:rsid w:val="000746F8"/>
    <w:rsid w:val="000765C3"/>
    <w:rsid w:val="000A5A5F"/>
    <w:rsid w:val="000B2F8C"/>
    <w:rsid w:val="000C0257"/>
    <w:rsid w:val="000D4898"/>
    <w:rsid w:val="000E4C82"/>
    <w:rsid w:val="000F211A"/>
    <w:rsid w:val="000F56E3"/>
    <w:rsid w:val="00104FB3"/>
    <w:rsid w:val="00107F30"/>
    <w:rsid w:val="0012584E"/>
    <w:rsid w:val="001311AC"/>
    <w:rsid w:val="00143194"/>
    <w:rsid w:val="001461F5"/>
    <w:rsid w:val="001556DD"/>
    <w:rsid w:val="0016356A"/>
    <w:rsid w:val="00167A60"/>
    <w:rsid w:val="00185A3F"/>
    <w:rsid w:val="00185EE9"/>
    <w:rsid w:val="001A7FB8"/>
    <w:rsid w:val="001B491F"/>
    <w:rsid w:val="001B51C7"/>
    <w:rsid w:val="001B6F3D"/>
    <w:rsid w:val="001D4F44"/>
    <w:rsid w:val="00207203"/>
    <w:rsid w:val="00212E1B"/>
    <w:rsid w:val="002216F6"/>
    <w:rsid w:val="00225283"/>
    <w:rsid w:val="00232629"/>
    <w:rsid w:val="0025426E"/>
    <w:rsid w:val="0026197E"/>
    <w:rsid w:val="00263B2D"/>
    <w:rsid w:val="00267A5F"/>
    <w:rsid w:val="00285F22"/>
    <w:rsid w:val="002D03FB"/>
    <w:rsid w:val="00311F12"/>
    <w:rsid w:val="00327681"/>
    <w:rsid w:val="003442AC"/>
    <w:rsid w:val="003756AE"/>
    <w:rsid w:val="00387080"/>
    <w:rsid w:val="0039191B"/>
    <w:rsid w:val="00391BA5"/>
    <w:rsid w:val="00392D8E"/>
    <w:rsid w:val="003C01E4"/>
    <w:rsid w:val="003C282C"/>
    <w:rsid w:val="003C64F5"/>
    <w:rsid w:val="003C7DA9"/>
    <w:rsid w:val="003D3349"/>
    <w:rsid w:val="004018CF"/>
    <w:rsid w:val="004101EB"/>
    <w:rsid w:val="00423F50"/>
    <w:rsid w:val="004278BA"/>
    <w:rsid w:val="0043033C"/>
    <w:rsid w:val="00440CFD"/>
    <w:rsid w:val="004421B6"/>
    <w:rsid w:val="004562E6"/>
    <w:rsid w:val="00465335"/>
    <w:rsid w:val="00467F93"/>
    <w:rsid w:val="0047424E"/>
    <w:rsid w:val="004C5367"/>
    <w:rsid w:val="004D0F0D"/>
    <w:rsid w:val="004D40C8"/>
    <w:rsid w:val="004F54EF"/>
    <w:rsid w:val="00500AD7"/>
    <w:rsid w:val="005011CA"/>
    <w:rsid w:val="00503E3C"/>
    <w:rsid w:val="005111E3"/>
    <w:rsid w:val="0052371F"/>
    <w:rsid w:val="00533C79"/>
    <w:rsid w:val="005516F5"/>
    <w:rsid w:val="005529B5"/>
    <w:rsid w:val="00553F41"/>
    <w:rsid w:val="00560221"/>
    <w:rsid w:val="00572CC3"/>
    <w:rsid w:val="00572E40"/>
    <w:rsid w:val="00592AF4"/>
    <w:rsid w:val="00592EE1"/>
    <w:rsid w:val="005A77DA"/>
    <w:rsid w:val="005B5B19"/>
    <w:rsid w:val="005B5F39"/>
    <w:rsid w:val="005B7A4D"/>
    <w:rsid w:val="005C10A0"/>
    <w:rsid w:val="005C1384"/>
    <w:rsid w:val="005C7C40"/>
    <w:rsid w:val="005D319D"/>
    <w:rsid w:val="005E2A57"/>
    <w:rsid w:val="005E4B18"/>
    <w:rsid w:val="005E50F2"/>
    <w:rsid w:val="005E6898"/>
    <w:rsid w:val="005E6B71"/>
    <w:rsid w:val="00633BA9"/>
    <w:rsid w:val="006523E9"/>
    <w:rsid w:val="00677AA6"/>
    <w:rsid w:val="0068067E"/>
    <w:rsid w:val="0068462B"/>
    <w:rsid w:val="00684D01"/>
    <w:rsid w:val="00693DC6"/>
    <w:rsid w:val="006C0688"/>
    <w:rsid w:val="006D025B"/>
    <w:rsid w:val="006D3262"/>
    <w:rsid w:val="006D3C35"/>
    <w:rsid w:val="006D56D7"/>
    <w:rsid w:val="006D6B66"/>
    <w:rsid w:val="006E2CD1"/>
    <w:rsid w:val="006F07AC"/>
    <w:rsid w:val="006F3013"/>
    <w:rsid w:val="006F31CE"/>
    <w:rsid w:val="006F68AA"/>
    <w:rsid w:val="00713145"/>
    <w:rsid w:val="00714241"/>
    <w:rsid w:val="00720DF4"/>
    <w:rsid w:val="0073023D"/>
    <w:rsid w:val="00772E9C"/>
    <w:rsid w:val="00777523"/>
    <w:rsid w:val="00791B0E"/>
    <w:rsid w:val="007B1C84"/>
    <w:rsid w:val="007C4D4F"/>
    <w:rsid w:val="008216CD"/>
    <w:rsid w:val="0082511C"/>
    <w:rsid w:val="008266EB"/>
    <w:rsid w:val="00864025"/>
    <w:rsid w:val="0086508A"/>
    <w:rsid w:val="008716C8"/>
    <w:rsid w:val="008818A0"/>
    <w:rsid w:val="00882288"/>
    <w:rsid w:val="008936F9"/>
    <w:rsid w:val="00893A02"/>
    <w:rsid w:val="008B1300"/>
    <w:rsid w:val="008B548F"/>
    <w:rsid w:val="008C0FA4"/>
    <w:rsid w:val="008E2860"/>
    <w:rsid w:val="009062B1"/>
    <w:rsid w:val="00925333"/>
    <w:rsid w:val="0093371C"/>
    <w:rsid w:val="00964B3D"/>
    <w:rsid w:val="00970F77"/>
    <w:rsid w:val="00973AA2"/>
    <w:rsid w:val="009750AD"/>
    <w:rsid w:val="009A4A2D"/>
    <w:rsid w:val="009B15FC"/>
    <w:rsid w:val="009E1905"/>
    <w:rsid w:val="009E55F7"/>
    <w:rsid w:val="009F6BDB"/>
    <w:rsid w:val="00A07D73"/>
    <w:rsid w:val="00A3001B"/>
    <w:rsid w:val="00A30D50"/>
    <w:rsid w:val="00A405C6"/>
    <w:rsid w:val="00A47963"/>
    <w:rsid w:val="00A513B1"/>
    <w:rsid w:val="00A52A54"/>
    <w:rsid w:val="00A54ACB"/>
    <w:rsid w:val="00AA46DC"/>
    <w:rsid w:val="00AA71D3"/>
    <w:rsid w:val="00AC0561"/>
    <w:rsid w:val="00AD244C"/>
    <w:rsid w:val="00AF3E43"/>
    <w:rsid w:val="00AF55DB"/>
    <w:rsid w:val="00AF7068"/>
    <w:rsid w:val="00B003A4"/>
    <w:rsid w:val="00B019D2"/>
    <w:rsid w:val="00B3076F"/>
    <w:rsid w:val="00B33F50"/>
    <w:rsid w:val="00B46B89"/>
    <w:rsid w:val="00B542CE"/>
    <w:rsid w:val="00B85928"/>
    <w:rsid w:val="00BA3F62"/>
    <w:rsid w:val="00BA7BDA"/>
    <w:rsid w:val="00BB7019"/>
    <w:rsid w:val="00BC0A74"/>
    <w:rsid w:val="00BC491B"/>
    <w:rsid w:val="00BE5C75"/>
    <w:rsid w:val="00BF0553"/>
    <w:rsid w:val="00C1467E"/>
    <w:rsid w:val="00C2111B"/>
    <w:rsid w:val="00C246B5"/>
    <w:rsid w:val="00C34D49"/>
    <w:rsid w:val="00C422F9"/>
    <w:rsid w:val="00C53C69"/>
    <w:rsid w:val="00C600E0"/>
    <w:rsid w:val="00C6135E"/>
    <w:rsid w:val="00C62DDC"/>
    <w:rsid w:val="00C71776"/>
    <w:rsid w:val="00C97091"/>
    <w:rsid w:val="00CE4092"/>
    <w:rsid w:val="00D2144F"/>
    <w:rsid w:val="00D27C0F"/>
    <w:rsid w:val="00D3173B"/>
    <w:rsid w:val="00D33EAC"/>
    <w:rsid w:val="00D43554"/>
    <w:rsid w:val="00D81061"/>
    <w:rsid w:val="00D8741D"/>
    <w:rsid w:val="00D91CF1"/>
    <w:rsid w:val="00D929BF"/>
    <w:rsid w:val="00DA3E11"/>
    <w:rsid w:val="00DC267E"/>
    <w:rsid w:val="00DC5AA2"/>
    <w:rsid w:val="00DD3F52"/>
    <w:rsid w:val="00E011D8"/>
    <w:rsid w:val="00E0453E"/>
    <w:rsid w:val="00E053D9"/>
    <w:rsid w:val="00E1500B"/>
    <w:rsid w:val="00E16444"/>
    <w:rsid w:val="00E36EC4"/>
    <w:rsid w:val="00E7740A"/>
    <w:rsid w:val="00E838FD"/>
    <w:rsid w:val="00E87ABE"/>
    <w:rsid w:val="00E914BB"/>
    <w:rsid w:val="00E9475D"/>
    <w:rsid w:val="00EC7811"/>
    <w:rsid w:val="00ED2A3C"/>
    <w:rsid w:val="00EF1D9A"/>
    <w:rsid w:val="00F01D6B"/>
    <w:rsid w:val="00F01E8B"/>
    <w:rsid w:val="00F05F40"/>
    <w:rsid w:val="00F170FB"/>
    <w:rsid w:val="00F5499C"/>
    <w:rsid w:val="00F855F0"/>
    <w:rsid w:val="00FB0E75"/>
    <w:rsid w:val="00FD2362"/>
    <w:rsid w:val="00FD31CF"/>
    <w:rsid w:val="00FD763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3F9344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6" w:lineRule="exact"/>
      <w:jc w:val="both"/>
    </w:pPr>
    <w:rPr>
      <w:rFonts w:ascii="Bookman Old Style" w:hAnsi="Bookman Old Style" w:cs="ＭＳ 明朝"/>
      <w:spacing w:val="-1"/>
      <w:sz w:val="24"/>
      <w:szCs w:val="24"/>
    </w:rPr>
  </w:style>
  <w:style w:type="paragraph" w:styleId="a4">
    <w:name w:val="header"/>
    <w:basedOn w:val="a"/>
    <w:rsid w:val="003D3349"/>
    <w:pPr>
      <w:tabs>
        <w:tab w:val="center" w:pos="4252"/>
        <w:tab w:val="right" w:pos="8504"/>
      </w:tabs>
      <w:snapToGrid w:val="0"/>
    </w:pPr>
  </w:style>
  <w:style w:type="paragraph" w:styleId="a5">
    <w:name w:val="footer"/>
    <w:basedOn w:val="a"/>
    <w:rsid w:val="003D3349"/>
    <w:pPr>
      <w:tabs>
        <w:tab w:val="center" w:pos="4252"/>
        <w:tab w:val="right" w:pos="8504"/>
      </w:tabs>
      <w:snapToGrid w:val="0"/>
    </w:pPr>
  </w:style>
  <w:style w:type="character" w:styleId="a6">
    <w:name w:val="page number"/>
    <w:basedOn w:val="a0"/>
    <w:rsid w:val="003D3349"/>
  </w:style>
  <w:style w:type="paragraph" w:styleId="a7">
    <w:name w:val="Balloon Text"/>
    <w:basedOn w:val="a"/>
    <w:semiHidden/>
    <w:rsid w:val="004D0F0D"/>
    <w:rPr>
      <w:rFonts w:ascii="Arial" w:eastAsia="ＭＳ ゴシック" w:hAnsi="Arial"/>
      <w:sz w:val="18"/>
      <w:szCs w:val="18"/>
    </w:rPr>
  </w:style>
  <w:style w:type="character" w:styleId="a8">
    <w:name w:val="Hyperlink"/>
    <w:rsid w:val="001556DD"/>
    <w:rPr>
      <w:color w:val="0000FF"/>
      <w:u w:val="single"/>
    </w:rPr>
  </w:style>
  <w:style w:type="paragraph" w:styleId="a9">
    <w:name w:val="Date"/>
    <w:basedOn w:val="a"/>
    <w:next w:val="a"/>
    <w:rsid w:val="00BF0553"/>
  </w:style>
  <w:style w:type="table" w:styleId="aa">
    <w:name w:val="Table Grid"/>
    <w:basedOn w:val="a1"/>
    <w:rsid w:val="00067E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33EAC"/>
    <w:rPr>
      <w:sz w:val="18"/>
      <w:szCs w:val="18"/>
    </w:rPr>
  </w:style>
  <w:style w:type="paragraph" w:styleId="ac">
    <w:name w:val="annotation text"/>
    <w:basedOn w:val="a"/>
    <w:semiHidden/>
    <w:rsid w:val="00D33EAC"/>
    <w:pPr>
      <w:jc w:val="left"/>
    </w:pPr>
  </w:style>
  <w:style w:type="paragraph" w:styleId="ad">
    <w:name w:val="annotation subject"/>
    <w:basedOn w:val="ac"/>
    <w:next w:val="ac"/>
    <w:semiHidden/>
    <w:rsid w:val="00D33EAC"/>
    <w:rPr>
      <w:b/>
      <w:bCs/>
    </w:rPr>
  </w:style>
  <w:style w:type="character" w:styleId="ae">
    <w:name w:val="Strong"/>
    <w:qFormat/>
    <w:rsid w:val="00714241"/>
    <w:rPr>
      <w:b/>
      <w:bCs/>
    </w:rPr>
  </w:style>
  <w:style w:type="paragraph" w:styleId="af">
    <w:name w:val="No Spacing"/>
    <w:uiPriority w:val="1"/>
    <w:qFormat/>
    <w:rsid w:val="00E87ABE"/>
    <w:pPr>
      <w:widowControl w:val="0"/>
      <w:jc w:val="both"/>
    </w:pPr>
    <w:rPr>
      <w:kern w:val="2"/>
      <w:sz w:val="21"/>
      <w:szCs w:val="24"/>
    </w:rPr>
  </w:style>
  <w:style w:type="paragraph" w:customStyle="1" w:styleId="41">
    <w:name w:val="表 (青)  41"/>
    <w:uiPriority w:val="1"/>
    <w:qFormat/>
    <w:rsid w:val="00C600E0"/>
    <w:pPr>
      <w:widowControl w:val="0"/>
      <w:jc w:val="both"/>
    </w:pPr>
    <w:rPr>
      <w:kern w:val="2"/>
      <w:sz w:val="21"/>
      <w:szCs w:val="24"/>
    </w:rPr>
  </w:style>
  <w:style w:type="paragraph" w:styleId="af0">
    <w:name w:val="Closing"/>
    <w:basedOn w:val="a"/>
    <w:link w:val="af1"/>
    <w:rsid w:val="00925333"/>
    <w:pPr>
      <w:jc w:val="right"/>
    </w:pPr>
    <w:rPr>
      <w:rFonts w:asciiTheme="minorEastAsia" w:eastAsiaTheme="minorEastAsia" w:hAnsiTheme="minorEastAsia"/>
      <w:sz w:val="22"/>
      <w:szCs w:val="22"/>
    </w:rPr>
  </w:style>
  <w:style w:type="character" w:customStyle="1" w:styleId="af1">
    <w:name w:val="結語 (文字)"/>
    <w:basedOn w:val="a0"/>
    <w:link w:val="af0"/>
    <w:rsid w:val="00925333"/>
    <w:rPr>
      <w:rFonts w:asciiTheme="minorEastAsia" w:eastAsiaTheme="minorEastAsia" w:hAnsiTheme="minorEastAsia"/>
      <w:kern w:val="2"/>
      <w:sz w:val="22"/>
      <w:szCs w:val="22"/>
    </w:rPr>
  </w:style>
  <w:style w:type="character" w:styleId="af2">
    <w:name w:val="FollowedHyperlink"/>
    <w:basedOn w:val="a0"/>
    <w:rsid w:val="00693DC6"/>
    <w:rPr>
      <w:color w:val="800080" w:themeColor="followedHyperlink"/>
      <w:u w:val="single"/>
    </w:rPr>
  </w:style>
  <w:style w:type="paragraph" w:styleId="af3">
    <w:name w:val="Revision"/>
    <w:hidden/>
    <w:uiPriority w:val="71"/>
    <w:semiHidden/>
    <w:rsid w:val="00A30D50"/>
    <w:rPr>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6" w:lineRule="exact"/>
      <w:jc w:val="both"/>
    </w:pPr>
    <w:rPr>
      <w:rFonts w:ascii="Bookman Old Style" w:hAnsi="Bookman Old Style" w:cs="ＭＳ 明朝"/>
      <w:spacing w:val="-1"/>
      <w:sz w:val="24"/>
      <w:szCs w:val="24"/>
    </w:rPr>
  </w:style>
  <w:style w:type="paragraph" w:styleId="a4">
    <w:name w:val="header"/>
    <w:basedOn w:val="a"/>
    <w:rsid w:val="003D3349"/>
    <w:pPr>
      <w:tabs>
        <w:tab w:val="center" w:pos="4252"/>
        <w:tab w:val="right" w:pos="8504"/>
      </w:tabs>
      <w:snapToGrid w:val="0"/>
    </w:pPr>
  </w:style>
  <w:style w:type="paragraph" w:styleId="a5">
    <w:name w:val="footer"/>
    <w:basedOn w:val="a"/>
    <w:rsid w:val="003D3349"/>
    <w:pPr>
      <w:tabs>
        <w:tab w:val="center" w:pos="4252"/>
        <w:tab w:val="right" w:pos="8504"/>
      </w:tabs>
      <w:snapToGrid w:val="0"/>
    </w:pPr>
  </w:style>
  <w:style w:type="character" w:styleId="a6">
    <w:name w:val="page number"/>
    <w:basedOn w:val="a0"/>
    <w:rsid w:val="003D3349"/>
  </w:style>
  <w:style w:type="paragraph" w:styleId="a7">
    <w:name w:val="Balloon Text"/>
    <w:basedOn w:val="a"/>
    <w:semiHidden/>
    <w:rsid w:val="004D0F0D"/>
    <w:rPr>
      <w:rFonts w:ascii="Arial" w:eastAsia="ＭＳ ゴシック" w:hAnsi="Arial"/>
      <w:sz w:val="18"/>
      <w:szCs w:val="18"/>
    </w:rPr>
  </w:style>
  <w:style w:type="character" w:styleId="a8">
    <w:name w:val="Hyperlink"/>
    <w:rsid w:val="001556DD"/>
    <w:rPr>
      <w:color w:val="0000FF"/>
      <w:u w:val="single"/>
    </w:rPr>
  </w:style>
  <w:style w:type="paragraph" w:styleId="a9">
    <w:name w:val="Date"/>
    <w:basedOn w:val="a"/>
    <w:next w:val="a"/>
    <w:rsid w:val="00BF0553"/>
  </w:style>
  <w:style w:type="table" w:styleId="aa">
    <w:name w:val="Table Grid"/>
    <w:basedOn w:val="a1"/>
    <w:rsid w:val="00067E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33EAC"/>
    <w:rPr>
      <w:sz w:val="18"/>
      <w:szCs w:val="18"/>
    </w:rPr>
  </w:style>
  <w:style w:type="paragraph" w:styleId="ac">
    <w:name w:val="annotation text"/>
    <w:basedOn w:val="a"/>
    <w:semiHidden/>
    <w:rsid w:val="00D33EAC"/>
    <w:pPr>
      <w:jc w:val="left"/>
    </w:pPr>
  </w:style>
  <w:style w:type="paragraph" w:styleId="ad">
    <w:name w:val="annotation subject"/>
    <w:basedOn w:val="ac"/>
    <w:next w:val="ac"/>
    <w:semiHidden/>
    <w:rsid w:val="00D33EAC"/>
    <w:rPr>
      <w:b/>
      <w:bCs/>
    </w:rPr>
  </w:style>
  <w:style w:type="character" w:styleId="ae">
    <w:name w:val="Strong"/>
    <w:qFormat/>
    <w:rsid w:val="00714241"/>
    <w:rPr>
      <w:b/>
      <w:bCs/>
    </w:rPr>
  </w:style>
  <w:style w:type="paragraph" w:styleId="af">
    <w:name w:val="No Spacing"/>
    <w:uiPriority w:val="1"/>
    <w:qFormat/>
    <w:rsid w:val="00E87ABE"/>
    <w:pPr>
      <w:widowControl w:val="0"/>
      <w:jc w:val="both"/>
    </w:pPr>
    <w:rPr>
      <w:kern w:val="2"/>
      <w:sz w:val="21"/>
      <w:szCs w:val="24"/>
    </w:rPr>
  </w:style>
  <w:style w:type="paragraph" w:customStyle="1" w:styleId="41">
    <w:name w:val="表 (青)  41"/>
    <w:uiPriority w:val="1"/>
    <w:qFormat/>
    <w:rsid w:val="00C600E0"/>
    <w:pPr>
      <w:widowControl w:val="0"/>
      <w:jc w:val="both"/>
    </w:pPr>
    <w:rPr>
      <w:kern w:val="2"/>
      <w:sz w:val="21"/>
      <w:szCs w:val="24"/>
    </w:rPr>
  </w:style>
  <w:style w:type="paragraph" w:styleId="af0">
    <w:name w:val="Closing"/>
    <w:basedOn w:val="a"/>
    <w:link w:val="af1"/>
    <w:rsid w:val="00925333"/>
    <w:pPr>
      <w:jc w:val="right"/>
    </w:pPr>
    <w:rPr>
      <w:rFonts w:asciiTheme="minorEastAsia" w:eastAsiaTheme="minorEastAsia" w:hAnsiTheme="minorEastAsia"/>
      <w:sz w:val="22"/>
      <w:szCs w:val="22"/>
    </w:rPr>
  </w:style>
  <w:style w:type="character" w:customStyle="1" w:styleId="af1">
    <w:name w:val="結語 (文字)"/>
    <w:basedOn w:val="a0"/>
    <w:link w:val="af0"/>
    <w:rsid w:val="00925333"/>
    <w:rPr>
      <w:rFonts w:asciiTheme="minorEastAsia" w:eastAsiaTheme="minorEastAsia" w:hAnsiTheme="minorEastAsia"/>
      <w:kern w:val="2"/>
      <w:sz w:val="22"/>
      <w:szCs w:val="22"/>
    </w:rPr>
  </w:style>
  <w:style w:type="character" w:styleId="af2">
    <w:name w:val="FollowedHyperlink"/>
    <w:basedOn w:val="a0"/>
    <w:rsid w:val="00693DC6"/>
    <w:rPr>
      <w:color w:val="800080" w:themeColor="followedHyperlink"/>
      <w:u w:val="single"/>
    </w:rPr>
  </w:style>
  <w:style w:type="paragraph" w:styleId="af3">
    <w:name w:val="Revision"/>
    <w:hidden/>
    <w:uiPriority w:val="71"/>
    <w:semiHidden/>
    <w:rsid w:val="00A30D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7527">
      <w:bodyDiv w:val="1"/>
      <w:marLeft w:val="0"/>
      <w:marRight w:val="0"/>
      <w:marTop w:val="0"/>
      <w:marBottom w:val="0"/>
      <w:divBdr>
        <w:top w:val="none" w:sz="0" w:space="0" w:color="auto"/>
        <w:left w:val="none" w:sz="0" w:space="0" w:color="auto"/>
        <w:bottom w:val="none" w:sz="0" w:space="0" w:color="auto"/>
        <w:right w:val="none" w:sz="0" w:space="0" w:color="auto"/>
      </w:divBdr>
    </w:div>
    <w:div w:id="63063734">
      <w:bodyDiv w:val="1"/>
      <w:marLeft w:val="0"/>
      <w:marRight w:val="0"/>
      <w:marTop w:val="0"/>
      <w:marBottom w:val="0"/>
      <w:divBdr>
        <w:top w:val="none" w:sz="0" w:space="0" w:color="auto"/>
        <w:left w:val="none" w:sz="0" w:space="0" w:color="auto"/>
        <w:bottom w:val="none" w:sz="0" w:space="0" w:color="auto"/>
        <w:right w:val="none" w:sz="0" w:space="0" w:color="auto"/>
      </w:divBdr>
    </w:div>
    <w:div w:id="9120851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30.jpeg"/><Relationship Id="rId13" Type="http://schemas.openxmlformats.org/officeDocument/2006/relationships/image" Target="media/image4.png"/><Relationship Id="rId14" Type="http://schemas.openxmlformats.org/officeDocument/2006/relationships/hyperlink" Target="http://www.umin.ac.jp/ctr/index-j.htm"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5A0B-0EB3-5549-854D-8DDA4212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693</Words>
  <Characters>3954</Characters>
  <Application>Microsoft Macintosh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CharactersWithSpaces>
  <SharedDoc>false</SharedDoc>
  <HLinks>
    <vt:vector size="6" baseType="variant">
      <vt:variant>
        <vt:i4>0</vt:i4>
      </vt:variant>
      <vt:variant>
        <vt:i4>-1</vt:i4>
      </vt:variant>
      <vt:variant>
        <vt:i4>1100</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koho003</dc:creator>
  <cp:lastModifiedBy>Rei MIZOBE</cp:lastModifiedBy>
  <cp:revision>4</cp:revision>
  <dcterms:created xsi:type="dcterms:W3CDTF">2016-02-08T02:47:00Z</dcterms:created>
  <dcterms:modified xsi:type="dcterms:W3CDTF">2016-02-08T02:55:00Z</dcterms:modified>
</cp:coreProperties>
</file>